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9474" w14:textId="02E5C349" w:rsidR="00391E0C" w:rsidRPr="00391E0C" w:rsidRDefault="00391E0C" w:rsidP="00391E0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1E0C">
        <w:rPr>
          <w:rFonts w:ascii="Arial" w:eastAsia="Times New Roman" w:hAnsi="Arial" w:cs="Arial"/>
          <w:lang w:eastAsia="hr-HR"/>
        </w:rPr>
        <w:t>OSNOVNA ŠKOLA NEDELIŠĆE</w:t>
      </w:r>
      <w:r w:rsidRPr="00391E0C">
        <w:rPr>
          <w:rFonts w:ascii="Arial" w:eastAsia="Times New Roman" w:hAnsi="Arial" w:cs="Arial"/>
          <w:lang w:eastAsia="hr-HR"/>
        </w:rPr>
        <w:tab/>
        <w:t xml:space="preserve">                   </w:t>
      </w:r>
      <w:r w:rsidRPr="00391E0C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>Šk. god: 20</w:t>
      </w:r>
      <w:r>
        <w:rPr>
          <w:rFonts w:ascii="Arial" w:eastAsia="Times New Roman" w:hAnsi="Arial" w:cs="Arial"/>
          <w:lang w:eastAsia="hr-HR"/>
        </w:rPr>
        <w:t>2</w:t>
      </w:r>
      <w:r w:rsidR="00875EFA">
        <w:rPr>
          <w:rFonts w:ascii="Arial" w:eastAsia="Times New Roman" w:hAnsi="Arial" w:cs="Arial"/>
          <w:lang w:eastAsia="hr-HR"/>
        </w:rPr>
        <w:t>5</w:t>
      </w:r>
      <w:r w:rsidRPr="00391E0C">
        <w:rPr>
          <w:rFonts w:ascii="Arial" w:eastAsia="Times New Roman" w:hAnsi="Arial" w:cs="Arial"/>
          <w:lang w:eastAsia="hr-HR"/>
        </w:rPr>
        <w:t>./20</w:t>
      </w:r>
      <w:r>
        <w:rPr>
          <w:rFonts w:ascii="Arial" w:eastAsia="Times New Roman" w:hAnsi="Arial" w:cs="Arial"/>
          <w:lang w:eastAsia="hr-HR"/>
        </w:rPr>
        <w:t>2</w:t>
      </w:r>
      <w:r w:rsidR="00875EFA">
        <w:rPr>
          <w:rFonts w:ascii="Arial" w:eastAsia="Times New Roman" w:hAnsi="Arial" w:cs="Arial"/>
          <w:lang w:eastAsia="hr-HR"/>
        </w:rPr>
        <w:t>6</w:t>
      </w:r>
      <w:r w:rsidRPr="00391E0C">
        <w:rPr>
          <w:rFonts w:ascii="Arial" w:eastAsia="Times New Roman" w:hAnsi="Arial" w:cs="Arial"/>
          <w:lang w:eastAsia="hr-HR"/>
        </w:rPr>
        <w:t>.</w:t>
      </w:r>
    </w:p>
    <w:p w14:paraId="6B5DEE38" w14:textId="0B7F793D" w:rsidR="00391E0C" w:rsidRPr="00391E0C" w:rsidRDefault="00391E0C" w:rsidP="00391E0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1E0C">
        <w:rPr>
          <w:rFonts w:ascii="Arial" w:eastAsia="Times New Roman" w:hAnsi="Arial" w:cs="Arial"/>
          <w:lang w:eastAsia="hr-HR"/>
        </w:rPr>
        <w:t xml:space="preserve">Predmet:  </w:t>
      </w:r>
      <w:r w:rsidRPr="00391E0C">
        <w:rPr>
          <w:rFonts w:ascii="Arial" w:eastAsia="Times New Roman" w:hAnsi="Arial" w:cs="Arial"/>
          <w:b/>
          <w:lang w:eastAsia="hr-HR"/>
        </w:rPr>
        <w:t>Fizika</w:t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  <w:t>Učitelj</w:t>
      </w:r>
      <w:r w:rsidR="00DE520F">
        <w:rPr>
          <w:rFonts w:ascii="Arial" w:eastAsia="Times New Roman" w:hAnsi="Arial" w:cs="Arial"/>
          <w:lang w:eastAsia="hr-HR"/>
        </w:rPr>
        <w:t>ica</w:t>
      </w:r>
      <w:r w:rsidRPr="00391E0C">
        <w:rPr>
          <w:rFonts w:ascii="Arial" w:eastAsia="Times New Roman" w:hAnsi="Arial" w:cs="Arial"/>
          <w:lang w:eastAsia="hr-HR"/>
        </w:rPr>
        <w:t xml:space="preserve">:  </w:t>
      </w:r>
      <w:r w:rsidRPr="00391E0C">
        <w:rPr>
          <w:rFonts w:ascii="Arial" w:eastAsia="Times New Roman" w:hAnsi="Arial" w:cs="Arial"/>
          <w:b/>
          <w:lang w:eastAsia="hr-HR"/>
        </w:rPr>
        <w:t>M</w:t>
      </w:r>
      <w:r w:rsidR="00DE520F">
        <w:rPr>
          <w:rFonts w:ascii="Arial" w:eastAsia="Times New Roman" w:hAnsi="Arial" w:cs="Arial"/>
          <w:b/>
          <w:lang w:eastAsia="hr-HR"/>
        </w:rPr>
        <w:t>arina Grabar Branilović</w:t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  <w:t>Razred</w:t>
      </w:r>
      <w:r w:rsidRPr="00391E0C">
        <w:rPr>
          <w:rFonts w:ascii="Arial" w:eastAsia="Times New Roman" w:hAnsi="Arial" w:cs="Arial"/>
          <w:b/>
          <w:lang w:eastAsia="hr-HR"/>
        </w:rPr>
        <w:t xml:space="preserve">:  </w:t>
      </w:r>
      <w:r w:rsidR="00F24097">
        <w:rPr>
          <w:rFonts w:ascii="Arial" w:eastAsia="Times New Roman" w:hAnsi="Arial" w:cs="Arial"/>
          <w:b/>
          <w:lang w:eastAsia="hr-HR"/>
        </w:rPr>
        <w:t>8</w:t>
      </w:r>
      <w:r w:rsidRPr="00391E0C">
        <w:rPr>
          <w:rFonts w:ascii="Arial" w:eastAsia="Times New Roman" w:hAnsi="Arial" w:cs="Arial"/>
          <w:b/>
          <w:lang w:eastAsia="hr-HR"/>
        </w:rPr>
        <w:t>.</w:t>
      </w:r>
      <w:r w:rsidRPr="00391E0C">
        <w:rPr>
          <w:rFonts w:ascii="Arial" w:eastAsia="Times New Roman" w:hAnsi="Arial" w:cs="Arial"/>
          <w:lang w:eastAsia="hr-HR"/>
        </w:rPr>
        <w:t xml:space="preserve"> </w:t>
      </w:r>
    </w:p>
    <w:p w14:paraId="0D88D082" w14:textId="77777777" w:rsidR="00391E0C" w:rsidRPr="00391E0C" w:rsidRDefault="00391E0C" w:rsidP="00391E0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91E0C">
        <w:rPr>
          <w:rFonts w:ascii="Arial" w:eastAsia="Times New Roman" w:hAnsi="Arial" w:cs="Arial"/>
          <w:b/>
          <w:lang w:eastAsia="hr-HR"/>
        </w:rPr>
        <w:t>PLAN, KRITERIJI I ELEMENTI VREDNOVANJA UČENIKA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3618"/>
        <w:gridCol w:w="1202"/>
        <w:gridCol w:w="2268"/>
        <w:gridCol w:w="1091"/>
      </w:tblGrid>
      <w:tr w:rsidR="00391E0C" w:rsidRPr="00391E0C" w14:paraId="1DCEEA86" w14:textId="77777777" w:rsidTr="00396468">
        <w:trPr>
          <w:trHeight w:val="276"/>
          <w:jc w:val="center"/>
        </w:trPr>
        <w:tc>
          <w:tcPr>
            <w:tcW w:w="1610" w:type="dxa"/>
            <w:vMerge w:val="restart"/>
            <w:tcBorders>
              <w:bottom w:val="thinThickThinSmallGap" w:sz="24" w:space="0" w:color="auto"/>
            </w:tcBorders>
            <w:vAlign w:val="center"/>
          </w:tcPr>
          <w:p w14:paraId="54B3CFEF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vMerge w:val="restart"/>
            <w:tcBorders>
              <w:bottom w:val="thinThickThinSmallGap" w:sz="24" w:space="0" w:color="auto"/>
            </w:tcBorders>
            <w:vAlign w:val="center"/>
          </w:tcPr>
          <w:p w14:paraId="113CF352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Sadržaj/oblik</w:t>
            </w:r>
          </w:p>
        </w:tc>
        <w:tc>
          <w:tcPr>
            <w:tcW w:w="3470" w:type="dxa"/>
            <w:gridSpan w:val="2"/>
            <w:vMerge w:val="restart"/>
            <w:tcBorders>
              <w:bottom w:val="thinThickThinSmallGap" w:sz="24" w:space="0" w:color="auto"/>
            </w:tcBorders>
            <w:vAlign w:val="center"/>
          </w:tcPr>
          <w:p w14:paraId="6A4F4F0D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Broj provjera</w:t>
            </w:r>
          </w:p>
        </w:tc>
        <w:tc>
          <w:tcPr>
            <w:tcW w:w="1091" w:type="dxa"/>
            <w:vMerge w:val="restart"/>
            <w:tcBorders>
              <w:bottom w:val="thinThickThinSmallGap" w:sz="24" w:space="0" w:color="auto"/>
            </w:tcBorders>
            <w:vAlign w:val="center"/>
          </w:tcPr>
          <w:p w14:paraId="7F98A3C0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Plan termina</w:t>
            </w:r>
          </w:p>
        </w:tc>
      </w:tr>
      <w:tr w:rsidR="00391E0C" w:rsidRPr="00391E0C" w14:paraId="4DF3DF48" w14:textId="77777777" w:rsidTr="00396468">
        <w:trPr>
          <w:trHeight w:val="276"/>
          <w:jc w:val="center"/>
        </w:trPr>
        <w:tc>
          <w:tcPr>
            <w:tcW w:w="1610" w:type="dxa"/>
            <w:vMerge/>
            <w:tcBorders>
              <w:bottom w:val="thinThickThinSmallGap" w:sz="24" w:space="0" w:color="auto"/>
            </w:tcBorders>
            <w:vAlign w:val="center"/>
          </w:tcPr>
          <w:p w14:paraId="2607CE3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vMerge/>
            <w:tcBorders>
              <w:bottom w:val="thinThickThinSmallGap" w:sz="24" w:space="0" w:color="auto"/>
            </w:tcBorders>
            <w:vAlign w:val="center"/>
          </w:tcPr>
          <w:p w14:paraId="147E6B39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470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14:paraId="50E42460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091" w:type="dxa"/>
            <w:vMerge/>
            <w:tcBorders>
              <w:bottom w:val="thinThickThinSmallGap" w:sz="24" w:space="0" w:color="auto"/>
            </w:tcBorders>
            <w:vAlign w:val="center"/>
          </w:tcPr>
          <w:p w14:paraId="5B54595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2608EBE2" w14:textId="77777777" w:rsidTr="00396468">
        <w:trPr>
          <w:jc w:val="center"/>
        </w:trPr>
        <w:tc>
          <w:tcPr>
            <w:tcW w:w="1610" w:type="dxa"/>
            <w:tcBorders>
              <w:top w:val="thinThickThinSmallGap" w:sz="24" w:space="0" w:color="auto"/>
            </w:tcBorders>
            <w:vAlign w:val="center"/>
          </w:tcPr>
          <w:p w14:paraId="1FC998FC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tcBorders>
              <w:top w:val="thinThickThinSmallGap" w:sz="24" w:space="0" w:color="auto"/>
            </w:tcBorders>
            <w:vAlign w:val="center"/>
          </w:tcPr>
          <w:p w14:paraId="13FECE7F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470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31449489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091" w:type="dxa"/>
            <w:tcBorders>
              <w:top w:val="thinThickThinSmallGap" w:sz="24" w:space="0" w:color="auto"/>
            </w:tcBorders>
            <w:vAlign w:val="center"/>
          </w:tcPr>
          <w:p w14:paraId="2F0320AA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7062EA48" w14:textId="77777777" w:rsidTr="00396468">
        <w:trPr>
          <w:jc w:val="center"/>
        </w:trPr>
        <w:tc>
          <w:tcPr>
            <w:tcW w:w="1610" w:type="dxa"/>
          </w:tcPr>
          <w:p w14:paraId="3F4DF39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Elementi vrednovanja</w:t>
            </w:r>
          </w:p>
        </w:tc>
        <w:tc>
          <w:tcPr>
            <w:tcW w:w="3618" w:type="dxa"/>
          </w:tcPr>
          <w:p w14:paraId="2C862A44" w14:textId="213F6601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Usvojenost </w:t>
            </w:r>
            <w:r w:rsidR="00C336EE">
              <w:rPr>
                <w:rFonts w:ascii="Arial" w:eastAsia="Times New Roman" w:hAnsi="Arial" w:cs="Arial"/>
                <w:lang w:eastAsia="hr-HR"/>
              </w:rPr>
              <w:t>znanja i vještina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3470" w:type="dxa"/>
            <w:gridSpan w:val="2"/>
          </w:tcPr>
          <w:p w14:paraId="321040B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Ocjena iz usmenog dijela i ocjena iz pismenog ispita koja se odnosi na teoretski dio</w:t>
            </w:r>
          </w:p>
        </w:tc>
        <w:tc>
          <w:tcPr>
            <w:tcW w:w="1091" w:type="dxa"/>
          </w:tcPr>
          <w:p w14:paraId="348F169A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336EE" w:rsidRPr="00391E0C" w14:paraId="3851405D" w14:textId="77777777" w:rsidTr="00396468">
        <w:trPr>
          <w:jc w:val="center"/>
        </w:trPr>
        <w:tc>
          <w:tcPr>
            <w:tcW w:w="1610" w:type="dxa"/>
          </w:tcPr>
          <w:p w14:paraId="1DC2D248" w14:textId="77777777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</w:tcPr>
          <w:p w14:paraId="5609CD07" w14:textId="0FD1BF88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Konceptualni i numerički zadaci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3470" w:type="dxa"/>
            <w:gridSpan w:val="2"/>
          </w:tcPr>
          <w:p w14:paraId="510B5A36" w14:textId="7ED1049F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Ocjena iz pismenog dijela koja se odnosi na rješavanje računskih zadataka </w:t>
            </w:r>
          </w:p>
        </w:tc>
        <w:tc>
          <w:tcPr>
            <w:tcW w:w="1091" w:type="dxa"/>
          </w:tcPr>
          <w:p w14:paraId="3B90AD33" w14:textId="77777777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336EE" w:rsidRPr="00391E0C" w14:paraId="2A14A2C1" w14:textId="77777777" w:rsidTr="00396468">
        <w:trPr>
          <w:jc w:val="center"/>
        </w:trPr>
        <w:tc>
          <w:tcPr>
            <w:tcW w:w="1610" w:type="dxa"/>
            <w:tcBorders>
              <w:bottom w:val="double" w:sz="4" w:space="0" w:color="auto"/>
            </w:tcBorders>
          </w:tcPr>
          <w:p w14:paraId="201F0A87" w14:textId="77777777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tcBorders>
              <w:bottom w:val="double" w:sz="4" w:space="0" w:color="auto"/>
            </w:tcBorders>
          </w:tcPr>
          <w:p w14:paraId="61E38F3E" w14:textId="6158CC14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Istraživanje fizičkih pojava</w:t>
            </w:r>
          </w:p>
        </w:tc>
        <w:tc>
          <w:tcPr>
            <w:tcW w:w="3470" w:type="dxa"/>
            <w:gridSpan w:val="2"/>
            <w:tcBorders>
              <w:bottom w:val="double" w:sz="4" w:space="0" w:color="auto"/>
            </w:tcBorders>
          </w:tcPr>
          <w:p w14:paraId="71FB322F" w14:textId="4B4E136A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Ocjena iz projekta, prezentacija, izvođenja pokusa, rješavanja dodatnih zadataka, radne bilježnice.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14:paraId="4CC12E28" w14:textId="77777777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29710766" w14:textId="77777777" w:rsidTr="00396468">
        <w:trPr>
          <w:jc w:val="center"/>
        </w:trPr>
        <w:tc>
          <w:tcPr>
            <w:tcW w:w="1610" w:type="dxa"/>
            <w:tcBorders>
              <w:top w:val="double" w:sz="4" w:space="0" w:color="auto"/>
            </w:tcBorders>
          </w:tcPr>
          <w:p w14:paraId="74B48101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Oblici vrednovanja</w:t>
            </w:r>
          </w:p>
        </w:tc>
        <w:tc>
          <w:tcPr>
            <w:tcW w:w="3618" w:type="dxa"/>
            <w:tcBorders>
              <w:top w:val="double" w:sz="4" w:space="0" w:color="auto"/>
            </w:tcBorders>
          </w:tcPr>
          <w:p w14:paraId="4BC5FAB9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Usmena provjera</w:t>
            </w:r>
          </w:p>
        </w:tc>
        <w:tc>
          <w:tcPr>
            <w:tcW w:w="3470" w:type="dxa"/>
            <w:gridSpan w:val="2"/>
            <w:tcBorders>
              <w:top w:val="double" w:sz="4" w:space="0" w:color="auto"/>
            </w:tcBorders>
          </w:tcPr>
          <w:p w14:paraId="053072B0" w14:textId="7C683273" w:rsidR="00391E0C" w:rsidRPr="00391E0C" w:rsidRDefault="00875EFA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Do </w:t>
            </w:r>
            <w:r w:rsidR="00C336EE">
              <w:rPr>
                <w:rFonts w:ascii="Arial" w:eastAsia="Times New Roman" w:hAnsi="Arial" w:cs="Arial"/>
                <w:lang w:eastAsia="hr-HR"/>
              </w:rPr>
              <w:t>3</w:t>
            </w:r>
            <w:r>
              <w:rPr>
                <w:rFonts w:ascii="Arial" w:eastAsia="Times New Roman" w:hAnsi="Arial" w:cs="Arial"/>
                <w:lang w:eastAsia="hr-HR"/>
              </w:rPr>
              <w:t xml:space="preserve"> puta</w:t>
            </w:r>
          </w:p>
        </w:tc>
        <w:tc>
          <w:tcPr>
            <w:tcW w:w="1091" w:type="dxa"/>
            <w:tcBorders>
              <w:top w:val="double" w:sz="4" w:space="0" w:color="auto"/>
            </w:tcBorders>
          </w:tcPr>
          <w:p w14:paraId="2EAC777F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tijekom godine</w:t>
            </w:r>
          </w:p>
        </w:tc>
      </w:tr>
      <w:tr w:rsidR="00391E0C" w:rsidRPr="00391E0C" w14:paraId="73828548" w14:textId="77777777" w:rsidTr="00396468">
        <w:trPr>
          <w:jc w:val="center"/>
        </w:trPr>
        <w:tc>
          <w:tcPr>
            <w:tcW w:w="1610" w:type="dxa"/>
          </w:tcPr>
          <w:p w14:paraId="703599BC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</w:tcPr>
          <w:p w14:paraId="5357BEA7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Pismene provjere</w:t>
            </w:r>
          </w:p>
        </w:tc>
        <w:tc>
          <w:tcPr>
            <w:tcW w:w="3470" w:type="dxa"/>
            <w:gridSpan w:val="2"/>
          </w:tcPr>
          <w:p w14:paraId="6839E229" w14:textId="04160BE9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2 prvo polug</w:t>
            </w:r>
            <w:r w:rsidR="00875EFA">
              <w:rPr>
                <w:rFonts w:ascii="Arial" w:eastAsia="Times New Roman" w:hAnsi="Arial" w:cs="Arial"/>
                <w:lang w:eastAsia="hr-HR"/>
              </w:rPr>
              <w:t>odište</w:t>
            </w:r>
          </w:p>
        </w:tc>
        <w:tc>
          <w:tcPr>
            <w:tcW w:w="1091" w:type="dxa"/>
          </w:tcPr>
          <w:p w14:paraId="0FA62267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4B2410D3" w14:textId="77777777" w:rsidTr="00396468">
        <w:trPr>
          <w:jc w:val="center"/>
        </w:trPr>
        <w:tc>
          <w:tcPr>
            <w:tcW w:w="1610" w:type="dxa"/>
          </w:tcPr>
          <w:p w14:paraId="71402060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</w:tcPr>
          <w:p w14:paraId="4427019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470" w:type="dxa"/>
            <w:gridSpan w:val="2"/>
          </w:tcPr>
          <w:p w14:paraId="27746A9A" w14:textId="118B88E5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3 drugo polug</w:t>
            </w:r>
            <w:r w:rsidR="00875EFA">
              <w:rPr>
                <w:rFonts w:ascii="Arial" w:eastAsia="Times New Roman" w:hAnsi="Arial" w:cs="Arial"/>
                <w:lang w:eastAsia="hr-HR"/>
              </w:rPr>
              <w:t>odište</w:t>
            </w:r>
          </w:p>
        </w:tc>
        <w:tc>
          <w:tcPr>
            <w:tcW w:w="1091" w:type="dxa"/>
          </w:tcPr>
          <w:p w14:paraId="382A55A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16EE4CF9" w14:textId="77777777" w:rsidTr="00396468">
        <w:trPr>
          <w:jc w:val="center"/>
        </w:trPr>
        <w:tc>
          <w:tcPr>
            <w:tcW w:w="1610" w:type="dxa"/>
            <w:tcBorders>
              <w:bottom w:val="double" w:sz="4" w:space="0" w:color="auto"/>
            </w:tcBorders>
          </w:tcPr>
          <w:p w14:paraId="41A65AD9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tcBorders>
              <w:bottom w:val="double" w:sz="4" w:space="0" w:color="auto"/>
            </w:tcBorders>
          </w:tcPr>
          <w:p w14:paraId="25F81BC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Projekt</w:t>
            </w:r>
          </w:p>
        </w:tc>
        <w:tc>
          <w:tcPr>
            <w:tcW w:w="3470" w:type="dxa"/>
            <w:gridSpan w:val="2"/>
            <w:tcBorders>
              <w:bottom w:val="double" w:sz="4" w:space="0" w:color="auto"/>
            </w:tcBorders>
          </w:tcPr>
          <w:p w14:paraId="3A4DD50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1 projekt 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14:paraId="56F1D7BD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tijekom godine</w:t>
            </w:r>
          </w:p>
        </w:tc>
      </w:tr>
      <w:tr w:rsidR="00391E0C" w:rsidRPr="00391E0C" w14:paraId="13E17FCA" w14:textId="77777777" w:rsidTr="00396468">
        <w:trPr>
          <w:jc w:val="center"/>
        </w:trPr>
        <w:tc>
          <w:tcPr>
            <w:tcW w:w="1610" w:type="dxa"/>
            <w:tcBorders>
              <w:top w:val="double" w:sz="4" w:space="0" w:color="auto"/>
            </w:tcBorders>
          </w:tcPr>
          <w:p w14:paraId="4F0BA1BB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Kriteriji ocjenjivanja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14:paraId="0C486265" w14:textId="0406DFD8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Usvojenost </w:t>
            </w:r>
            <w:r w:rsidRPr="00391E0C">
              <w:rPr>
                <w:rFonts w:ascii="Arial" w:eastAsia="Times New Roman" w:hAnsi="Arial" w:cs="Arial"/>
                <w:bCs/>
                <w:lang w:eastAsia="hr-HR"/>
              </w:rPr>
              <w:t>osnovnih(temeljnih) činjenica, dakle poznavanje fizikalnih pojmova,</w:t>
            </w:r>
            <w:r w:rsidR="00DE520F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bCs/>
                <w:lang w:eastAsia="hr-HR"/>
              </w:rPr>
              <w:t xml:space="preserve">zakona i fizikalnih jedinca. </w:t>
            </w:r>
            <w:r w:rsidRPr="00391E0C">
              <w:rPr>
                <w:rFonts w:ascii="Arial" w:eastAsia="Times New Roman" w:hAnsi="Arial" w:cs="Arial"/>
                <w:b/>
                <w:bCs/>
                <w:i/>
                <w:lang w:eastAsia="hr-HR"/>
              </w:rPr>
              <w:t>(ocjena dovoljan)</w:t>
            </w:r>
          </w:p>
        </w:tc>
        <w:tc>
          <w:tcPr>
            <w:tcW w:w="3359" w:type="dxa"/>
            <w:gridSpan w:val="2"/>
            <w:vMerge w:val="restart"/>
            <w:tcBorders>
              <w:top w:val="double" w:sz="4" w:space="0" w:color="auto"/>
            </w:tcBorders>
          </w:tcPr>
          <w:p w14:paraId="4FF37FE7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Na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pismenom dijelu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ispita se provjerava usvojenost, razumijevanje i primjena znanja iz fizike u rješavanju zadataka.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Svaki pismeni iz fizike rezultira sa dvije ocjene</w:t>
            </w:r>
            <w:r w:rsidRPr="00391E0C">
              <w:rPr>
                <w:rFonts w:ascii="Arial" w:eastAsia="Times New Roman" w:hAnsi="Arial" w:cs="Arial"/>
                <w:lang w:eastAsia="hr-HR"/>
              </w:rPr>
              <w:t>, jedna ocjena je iz usvojenosti i razumijevanja sadržaja, a druga iz primjene znanja u rješavanju zadataka.</w:t>
            </w:r>
          </w:p>
          <w:p w14:paraId="4B7E9822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529F3AAD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dovoljan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od 40% do 50%</w:t>
            </w:r>
          </w:p>
          <w:p w14:paraId="419ACF05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dobar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– 56%</w:t>
            </w:r>
          </w:p>
          <w:p w14:paraId="6B04DA4A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vrlo dobar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– 71%</w:t>
            </w:r>
          </w:p>
          <w:p w14:paraId="3437432B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odličan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– 86%</w:t>
            </w:r>
          </w:p>
          <w:p w14:paraId="47188CE1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Postoci se računaju u odnosu na ukupan broj bodova na pismenom dijelu ispita.</w:t>
            </w:r>
          </w:p>
        </w:tc>
      </w:tr>
      <w:tr w:rsidR="00391E0C" w:rsidRPr="00391E0C" w14:paraId="35A1BF31" w14:textId="77777777" w:rsidTr="00396468">
        <w:trPr>
          <w:jc w:val="center"/>
        </w:trPr>
        <w:tc>
          <w:tcPr>
            <w:tcW w:w="1610" w:type="dxa"/>
          </w:tcPr>
          <w:p w14:paraId="4CF0190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31FC5D82" w14:textId="16C61399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Razumijevanje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fizikalnih zakona i objašnjenje fizikalnih eksperimenata koje se izvode na satu,</w:t>
            </w:r>
            <w:r w:rsidR="00DE520F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rješavanje jednostavnih zadataka. Povezivanje fizikalnih zakona sa jednostavnim primjerima iz svakodnevnog života. </w:t>
            </w: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dobar)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399C20C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1E42AD57" w14:textId="77777777" w:rsidTr="00396468">
        <w:trPr>
          <w:jc w:val="center"/>
        </w:trPr>
        <w:tc>
          <w:tcPr>
            <w:tcW w:w="1610" w:type="dxa"/>
          </w:tcPr>
          <w:p w14:paraId="1930994A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7875613B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91E0C">
              <w:rPr>
                <w:rFonts w:ascii="Arial" w:eastAsia="Times New Roman" w:hAnsi="Arial" w:cs="Arial"/>
                <w:bCs/>
                <w:lang w:eastAsia="hr-HR"/>
              </w:rPr>
              <w:t xml:space="preserve">Razumijevanje i primjena usvojenog gradiva u rješavanju složenijih zadataka. </w:t>
            </w:r>
          </w:p>
          <w:p w14:paraId="4A1FFADC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vrlo dobra, odličan)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47E7AF7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7AEC89EF" w14:textId="77777777" w:rsidTr="00396468">
        <w:trPr>
          <w:jc w:val="center"/>
        </w:trPr>
        <w:tc>
          <w:tcPr>
            <w:tcW w:w="1610" w:type="dxa"/>
          </w:tcPr>
          <w:p w14:paraId="7F009EEB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55DDA60A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Primjena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fizikalnih zakona u novim situacijama.</w:t>
            </w: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vrlo dobar, odličan)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3337B376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624D16F2" w14:textId="77777777" w:rsidTr="00396468">
        <w:trPr>
          <w:jc w:val="center"/>
        </w:trPr>
        <w:tc>
          <w:tcPr>
            <w:tcW w:w="1610" w:type="dxa"/>
          </w:tcPr>
          <w:p w14:paraId="5F748E62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1587297C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Primjena fizikalnih zakona u svakodnevnom životu.</w:t>
            </w:r>
            <w:r w:rsidRPr="00391E0C">
              <w:rPr>
                <w:rFonts w:ascii="Arial" w:eastAsia="Times New Roman" w:hAnsi="Arial" w:cs="Arial"/>
                <w:i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vrlo dobar, odličan)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7D4F326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730EFBBD" w14:textId="77777777" w:rsidTr="00396468">
        <w:trPr>
          <w:jc w:val="center"/>
        </w:trPr>
        <w:tc>
          <w:tcPr>
            <w:tcW w:w="1610" w:type="dxa"/>
          </w:tcPr>
          <w:p w14:paraId="42761C0E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481F0C45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Svaka viša razina znanja podrazumijeva tj. mora u sebi obuhvaćati i nižu razinu znanja.</w:t>
            </w:r>
          </w:p>
          <w:p w14:paraId="6A267BF8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59" w:type="dxa"/>
            <w:gridSpan w:val="2"/>
          </w:tcPr>
          <w:p w14:paraId="616ECF2E" w14:textId="145E62F4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Npr. </w:t>
            </w:r>
            <w:r w:rsidR="00DE520F">
              <w:rPr>
                <w:rFonts w:ascii="Arial" w:eastAsia="Times New Roman" w:hAnsi="Arial" w:cs="Arial"/>
                <w:lang w:eastAsia="hr-HR"/>
              </w:rPr>
              <w:t>u</w:t>
            </w:r>
            <w:r w:rsidRPr="00391E0C">
              <w:rPr>
                <w:rFonts w:ascii="Arial" w:eastAsia="Times New Roman" w:hAnsi="Arial" w:cs="Arial"/>
                <w:lang w:eastAsia="hr-HR"/>
              </w:rPr>
              <w:t>koliko učenik odgovara za ocjenu odličan, kroz ispitivanje se provjerava i niža razina znanja.</w:t>
            </w:r>
          </w:p>
        </w:tc>
      </w:tr>
      <w:tr w:rsidR="00391E0C" w:rsidRPr="00391E0C" w14:paraId="24D67BC7" w14:textId="77777777" w:rsidTr="00396468">
        <w:trPr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</w:tcBorders>
            <w:vAlign w:val="center"/>
          </w:tcPr>
          <w:p w14:paraId="20DC6E4F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Kriteriji zaključivanja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</w:tcBorders>
          </w:tcPr>
          <w:p w14:paraId="43808EDC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Izraz cjelogodišnjeg rada </w:t>
            </w:r>
          </w:p>
        </w:tc>
        <w:tc>
          <w:tcPr>
            <w:tcW w:w="1091" w:type="dxa"/>
            <w:tcBorders>
              <w:top w:val="double" w:sz="4" w:space="0" w:color="auto"/>
            </w:tcBorders>
          </w:tcPr>
          <w:p w14:paraId="35F576AC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5AC83AEA" w14:textId="77777777" w:rsidTr="00396468">
        <w:trPr>
          <w:jc w:val="center"/>
        </w:trPr>
        <w:tc>
          <w:tcPr>
            <w:tcW w:w="1610" w:type="dxa"/>
            <w:vMerge/>
          </w:tcPr>
          <w:p w14:paraId="53574C38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88" w:type="dxa"/>
            <w:gridSpan w:val="3"/>
          </w:tcPr>
          <w:p w14:paraId="5713F2C2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Uvaženi svi oblici praćenja i ocjenjivanja </w:t>
            </w:r>
          </w:p>
        </w:tc>
        <w:tc>
          <w:tcPr>
            <w:tcW w:w="1091" w:type="dxa"/>
          </w:tcPr>
          <w:p w14:paraId="3354E45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4F0AB9A6" w14:textId="77777777" w:rsidTr="00396468">
        <w:trPr>
          <w:jc w:val="center"/>
        </w:trPr>
        <w:tc>
          <w:tcPr>
            <w:tcW w:w="1610" w:type="dxa"/>
            <w:vMerge/>
          </w:tcPr>
          <w:p w14:paraId="4E88F906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88" w:type="dxa"/>
            <w:gridSpan w:val="3"/>
          </w:tcPr>
          <w:p w14:paraId="77C64919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Ravnopravan tretman različitih metoda </w:t>
            </w:r>
          </w:p>
        </w:tc>
        <w:tc>
          <w:tcPr>
            <w:tcW w:w="1091" w:type="dxa"/>
          </w:tcPr>
          <w:p w14:paraId="0CEF2FD5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336EE" w:rsidRPr="00391E0C" w14:paraId="6ED761F6" w14:textId="77777777" w:rsidTr="00396468">
        <w:trPr>
          <w:jc w:val="center"/>
        </w:trPr>
        <w:tc>
          <w:tcPr>
            <w:tcW w:w="1610" w:type="dxa"/>
            <w:vMerge/>
          </w:tcPr>
          <w:p w14:paraId="6980E2C7" w14:textId="77777777" w:rsidR="00C336EE" w:rsidRPr="00391E0C" w:rsidRDefault="00C336EE" w:rsidP="00C336E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179" w:type="dxa"/>
            <w:gridSpan w:val="4"/>
          </w:tcPr>
          <w:p w14:paraId="1088E575" w14:textId="79925C79" w:rsidR="00C336EE" w:rsidRPr="00391E0C" w:rsidRDefault="00C336EE" w:rsidP="00C336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Ocjen</w:t>
            </w:r>
            <w:r>
              <w:rPr>
                <w:rFonts w:ascii="Arial" w:eastAsia="Times New Roman" w:hAnsi="Arial" w:cs="Arial"/>
                <w:lang w:eastAsia="hr-HR"/>
              </w:rPr>
              <w:t>a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se zaključuj</w:t>
            </w:r>
            <w:r>
              <w:rPr>
                <w:rFonts w:ascii="Arial" w:eastAsia="Times New Roman" w:hAnsi="Arial" w:cs="Arial"/>
                <w:lang w:eastAsia="hr-HR"/>
              </w:rPr>
              <w:t xml:space="preserve">e </w:t>
            </w:r>
            <w:r w:rsidRPr="00391E0C">
              <w:rPr>
                <w:rFonts w:ascii="Arial" w:eastAsia="Times New Roman" w:hAnsi="Arial" w:cs="Arial"/>
                <w:lang w:eastAsia="hr-HR"/>
              </w:rPr>
              <w:t>na taj način da se računa aritmetička sredina sv</w:t>
            </w:r>
            <w:r>
              <w:rPr>
                <w:rFonts w:ascii="Arial" w:eastAsia="Times New Roman" w:hAnsi="Arial" w:cs="Arial"/>
                <w:lang w:eastAsia="hr-HR"/>
              </w:rPr>
              <w:t>ih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elementa vrednovanja. S time da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rubrik</w:t>
            </w:r>
            <w:r>
              <w:rPr>
                <w:rFonts w:ascii="Arial" w:eastAsia="Times New Roman" w:hAnsi="Arial" w:cs="Arial"/>
                <w:b/>
                <w:lang w:eastAsia="hr-HR"/>
              </w:rPr>
              <w:t>e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 xml:space="preserve"> „usvojenost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znanja i vještina“ i „konceptualni i numerički zadaci“ moraju biti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 xml:space="preserve"> pozitivn</w:t>
            </w:r>
            <w:r>
              <w:rPr>
                <w:rFonts w:ascii="Arial" w:eastAsia="Times New Roman" w:hAnsi="Arial" w:cs="Arial"/>
                <w:b/>
                <w:lang w:eastAsia="hr-HR"/>
              </w:rPr>
              <w:t>e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 xml:space="preserve"> kroz cijelu godinu, kako bi na kraju godine ocjena bila pozitivna.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Dakle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učenik treba usvojiti temeljne činjenice iz svih nastavnih cjelina tokom godine.</w:t>
            </w:r>
          </w:p>
        </w:tc>
      </w:tr>
    </w:tbl>
    <w:p w14:paraId="4DFAF782" w14:textId="0E6C36DA" w:rsidR="00D24B31" w:rsidRPr="00391E0C" w:rsidRDefault="00D24B31" w:rsidP="00DE520F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sectPr w:rsidR="00D24B31" w:rsidRPr="00391E0C" w:rsidSect="00391E0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0C"/>
    <w:rsid w:val="001F1CE8"/>
    <w:rsid w:val="002904B8"/>
    <w:rsid w:val="00391E0C"/>
    <w:rsid w:val="00875EFA"/>
    <w:rsid w:val="00905D63"/>
    <w:rsid w:val="00C336EE"/>
    <w:rsid w:val="00CF139D"/>
    <w:rsid w:val="00D24B31"/>
    <w:rsid w:val="00D57DCB"/>
    <w:rsid w:val="00DE520F"/>
    <w:rsid w:val="00E77CF7"/>
    <w:rsid w:val="00F24097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2067"/>
  <w15:chartTrackingRefBased/>
  <w15:docId w15:val="{8BDCA64A-7C38-4F26-8D2D-1ED72A92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Đurić</dc:creator>
  <cp:keywords/>
  <dc:description/>
  <cp:lastModifiedBy>Marina Grabar Branilović</cp:lastModifiedBy>
  <cp:revision>5</cp:revision>
  <dcterms:created xsi:type="dcterms:W3CDTF">2025-09-17T06:40:00Z</dcterms:created>
  <dcterms:modified xsi:type="dcterms:W3CDTF">2026-06-15T12:52:00Z</dcterms:modified>
</cp:coreProperties>
</file>