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b/>
          <w:b/>
          <w:bCs/>
          <w:lang w:val="hr-HR"/>
        </w:rPr>
      </w:pPr>
      <w:r>
        <w:rPr>
          <w:b/>
          <w:bCs/>
          <w:lang w:val="hr-HR"/>
        </w:rPr>
        <w:t>Godišnji izvedbeni kurikulum za njemački jezik</w:t>
      </w:r>
    </w:p>
    <w:p>
      <w:pPr>
        <w:pStyle w:val="Normal"/>
        <w:jc w:val="center"/>
        <w:rPr>
          <w:lang w:val="hr-HR"/>
        </w:rPr>
      </w:pPr>
      <w:r>
        <w:rPr>
          <w:lang w:val="hr-HR"/>
        </w:rPr>
        <w:t xml:space="preserve">za 8. razred osnovne škole, 8. godina učenja, </w:t>
      </w:r>
      <w:r>
        <w:rPr>
          <w:lang w:val="de-DE"/>
        </w:rPr>
        <w:t>Logisch neu</w:t>
      </w:r>
      <w:r>
        <w:rPr>
          <w:lang w:val="hr-HR"/>
        </w:rPr>
        <w:t xml:space="preserve"> A2+, Ernst </w:t>
      </w:r>
      <w:r>
        <w:rPr>
          <w:lang w:val="de-DE"/>
        </w:rPr>
        <w:t>Klett Sprachen</w:t>
      </w:r>
    </w:p>
    <w:p>
      <w:pPr>
        <w:pStyle w:val="Normal"/>
        <w:rPr>
          <w:b/>
          <w:b/>
          <w:bCs/>
          <w:lang w:val="hr-HR"/>
        </w:rPr>
      </w:pPr>
      <w:r>
        <w:rPr>
          <w:b/>
          <w:bCs/>
          <w:lang w:val="hr-HR"/>
        </w:rPr>
        <w:t>Školska godina 202</w:t>
      </w:r>
      <w:r>
        <w:rPr>
          <w:b/>
          <w:bCs/>
          <w:lang w:val="hr-HR"/>
        </w:rPr>
        <w:t>5</w:t>
      </w:r>
      <w:r>
        <w:rPr>
          <w:b/>
          <w:bCs/>
          <w:lang w:val="hr-HR"/>
        </w:rPr>
        <w:t>./202</w:t>
      </w:r>
      <w:r>
        <w:rPr>
          <w:b/>
          <w:bCs/>
          <w:lang w:val="hr-HR"/>
        </w:rPr>
        <w:t>6</w:t>
      </w:r>
      <w:r>
        <w:rPr>
          <w:b/>
          <w:bCs/>
          <w:lang w:val="hr-HR"/>
        </w:rPr>
        <w:t>.</w:t>
      </w:r>
    </w:p>
    <w:p>
      <w:pPr>
        <w:pStyle w:val="Normal"/>
        <w:rPr>
          <w:b/>
          <w:b/>
          <w:bCs/>
          <w:lang w:val="hr-HR"/>
        </w:rPr>
      </w:pPr>
      <w:r>
        <w:rPr>
          <w:b/>
          <w:bCs/>
          <w:color w:val="000000" w:themeColor="text1"/>
        </w:rPr>
        <w:t>Razred: 8.d                                                                                                                                                                                  Učitelj: Danijela Horvat</w:t>
      </w:r>
    </w:p>
    <w:tbl>
      <w:tblPr>
        <w:tblpPr w:vertAnchor="text" w:horzAnchor="text" w:leftFromText="180" w:rightFromText="180" w:tblpX="0" w:tblpY="1"/>
        <w:tblW w:w="12611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0909"/>
        <w:gridCol w:w="1701"/>
      </w:tblGrid>
      <w:tr>
        <w:trPr>
          <w:trHeight w:val="864" w:hRule="atLeast"/>
        </w:trPr>
        <w:tc>
          <w:tcPr>
            <w:tcW w:w="10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8D08D" w:themeFill="accent6" w:themeFillTint="9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val="hr-HR" w:eastAsia="en-GB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hr-HR" w:eastAsia="en-GB"/>
              </w:rPr>
              <w:t>Teme i podteme</w:t>
            </w:r>
            <w:r>
              <w:rPr>
                <w:rFonts w:eastAsia="Times New Roman" w:cs="Calibri"/>
                <w:color w:val="000000"/>
                <w:lang w:val="hr-HR" w:eastAsia="en-GB"/>
              </w:rPr>
              <w:t xml:space="preserve"> (napomena: teme se međusobno isprepliću i povezuju i nisu strogo povezane s određenim razdobljem nastavne godine i nadopunjuju se projektnim zadacima ili temama po izboru i u skladu s potrebama učenika)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8D08D" w:themeFill="accent6" w:themeFillTint="9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b/>
                <w:bCs/>
                <w:color w:val="000000"/>
                <w:lang w:val="hr-HR" w:eastAsia="en-GB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hr-HR" w:eastAsia="en-GB"/>
              </w:rPr>
              <w:t>Broj nastavnih sati</w:t>
            </w:r>
          </w:p>
        </w:tc>
      </w:tr>
      <w:tr>
        <w:trPr>
          <w:trHeight w:val="744" w:hRule="atLeast"/>
        </w:trPr>
        <w:tc>
          <w:tcPr>
            <w:tcW w:w="109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Spacing"/>
              <w:widowControl w:val="false"/>
              <w:rPr>
                <w:sz w:val="18"/>
                <w:szCs w:val="18"/>
                <w:lang w:eastAsia="hr-HR"/>
              </w:rPr>
            </w:pPr>
            <w:r>
              <w:rPr>
                <w:sz w:val="18"/>
                <w:szCs w:val="18"/>
                <w:lang w:eastAsia="hr-HR"/>
              </w:rPr>
              <w:t>Svakodnevnica (aktivnosti u slobodno vrijeme, izražavanje pretpostavki I davanje prijedloga)</w:t>
            </w:r>
          </w:p>
          <w:p>
            <w:pPr>
              <w:pStyle w:val="NoSpacing"/>
              <w:widowControl w:val="false"/>
              <w:rPr>
                <w:sz w:val="18"/>
                <w:szCs w:val="18"/>
                <w:lang w:eastAsia="hr-HR"/>
              </w:rPr>
            </w:pPr>
            <w:r>
              <w:rPr>
                <w:sz w:val="18"/>
                <w:szCs w:val="18"/>
                <w:lang w:eastAsia="hr-HR"/>
              </w:rPr>
              <w:t>Vršnjaci, prijatelji I obitelj (izražavanje želja)</w:t>
            </w:r>
          </w:p>
          <w:p>
            <w:pPr>
              <w:pStyle w:val="NoSpacing"/>
              <w:widowControl w:val="false"/>
              <w:rPr>
                <w:rFonts w:ascii="Calibri" w:hAnsi="Calibri" w:eastAsia="Times New Roman" w:cs="Calibri"/>
                <w:sz w:val="18"/>
                <w:szCs w:val="18"/>
                <w:lang w:val="hr-HR" w:eastAsia="en-GB"/>
              </w:rPr>
            </w:pPr>
            <w:r>
              <w:rPr>
                <w:sz w:val="18"/>
                <w:szCs w:val="18"/>
                <w:lang w:eastAsia="hr-HR"/>
              </w:rPr>
              <w:t xml:space="preserve">Stanovanje (vrste stambenih objekata I mjesta stanovanja, </w:t>
            </w:r>
            <w:r>
              <w:rPr>
                <w:rFonts w:eastAsia="Times New Roman" w:cs="Calibri"/>
                <w:sz w:val="18"/>
                <w:szCs w:val="18"/>
                <w:lang w:val="hr-HR" w:eastAsia="en-GB"/>
              </w:rPr>
              <w:t>izražavanje vlastitog mišljenja, slaganja i neslaganja te davanje savjeta)</w:t>
            </w:r>
          </w:p>
          <w:p>
            <w:pPr>
              <w:pStyle w:val="NoSpacing"/>
              <w:widowControl w:val="false"/>
              <w:rPr>
                <w:rFonts w:ascii="Calibri" w:hAnsi="Calibri" w:eastAsia="Times New Roman" w:cs="Calibri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sz w:val="18"/>
                <w:szCs w:val="18"/>
                <w:lang w:val="hr-HR" w:eastAsia="en-GB"/>
              </w:rPr>
              <w:t>Mediji i oglašavanje (računalne igrice i računala, hobiji, reklame, online kupovina, izražavanje prigovora i reklamacije)</w:t>
            </w:r>
          </w:p>
          <w:p>
            <w:pPr>
              <w:pStyle w:val="NoSpacing"/>
              <w:widowControl w:val="false"/>
              <w:rPr>
                <w:sz w:val="18"/>
                <w:szCs w:val="18"/>
                <w:lang w:eastAsia="hr-HR"/>
              </w:rPr>
            </w:pPr>
            <w:r>
              <w:rPr>
                <w:sz w:val="18"/>
                <w:szCs w:val="18"/>
                <w:lang w:eastAsia="hr-HR"/>
              </w:rPr>
              <w:t>Odjeća I moda (odjevni stilovi, izražavanje vlastitog mišljenja, usmeno predstavljanje knjige)</w:t>
            </w:r>
          </w:p>
          <w:p>
            <w:pPr>
              <w:pStyle w:val="NoSpacing"/>
              <w:widowControl w:val="false"/>
              <w:rPr>
                <w:sz w:val="18"/>
                <w:szCs w:val="18"/>
                <w:lang w:eastAsia="hr-HR"/>
              </w:rPr>
            </w:pPr>
            <w:r>
              <w:rPr>
                <w:sz w:val="18"/>
                <w:szCs w:val="18"/>
                <w:lang w:eastAsia="hr-HR"/>
              </w:rPr>
              <w:t xml:space="preserve">Komunikacija (načini I pravila komuniciranja u online I offline okruženju) </w:t>
            </w:r>
          </w:p>
          <w:p>
            <w:pPr>
              <w:pStyle w:val="NoSpacing"/>
              <w:widowControl w:val="false"/>
              <w:rPr>
                <w:sz w:val="18"/>
                <w:szCs w:val="18"/>
                <w:lang w:eastAsia="hr-HR"/>
              </w:rPr>
            </w:pPr>
            <w:r>
              <w:rPr>
                <w:sz w:val="18"/>
                <w:szCs w:val="18"/>
                <w:lang w:eastAsia="hr-HR"/>
              </w:rPr>
              <w:t>Prošlost I sedma umjetnost (usmeno I pismeno prepričavanje događaja u prošlosti)</w:t>
            </w:r>
          </w:p>
          <w:p>
            <w:pPr>
              <w:pStyle w:val="NoSpacing"/>
              <w:widowControl w:val="false"/>
              <w:rPr>
                <w:lang w:eastAsia="hr-HR"/>
              </w:rPr>
            </w:pPr>
            <w:r>
              <w:rPr>
                <w:sz w:val="18"/>
                <w:szCs w:val="18"/>
                <w:lang w:eastAsia="hr-HR"/>
              </w:rPr>
              <w:t>Kulturno nasljeđe (susret s različitim kulturama I običajima, stereotipi, višejezičnost, različitosti društvenih grupa)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  <w:t>105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</w:tc>
      </w:tr>
    </w:tbl>
    <w:p>
      <w:pPr>
        <w:pStyle w:val="Normal"/>
        <w:rPr>
          <w:lang w:val="hr-HR"/>
        </w:rPr>
      </w:pPr>
      <w:r/>
      <w:r>
        <w:rPr>
          <w:lang w:val="hr-HR"/>
        </w:rPr>
        <w:br/>
      </w:r>
    </w:p>
    <w:tbl>
      <w:tblPr>
        <w:tblW w:w="1261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083"/>
        <w:gridCol w:w="5527"/>
      </w:tblGrid>
      <w:tr>
        <w:trPr>
          <w:trHeight w:val="238" w:hRule="atLeast"/>
        </w:trPr>
        <w:tc>
          <w:tcPr>
            <w:tcW w:w="12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8D08D" w:themeFill="accent6" w:themeFillTint="99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b/>
                <w:bCs/>
                <w:color w:val="000000"/>
                <w:lang w:val="hr-HR" w:eastAsia="en-GB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hr-HR" w:eastAsia="en-GB"/>
              </w:rPr>
              <w:t>Jezične strukture i jezične funkcije</w:t>
            </w:r>
          </w:p>
        </w:tc>
      </w:tr>
      <w:tr>
        <w:trPr>
          <w:trHeight w:val="427" w:hRule="atLeast"/>
        </w:trPr>
        <w:tc>
          <w:tcPr>
            <w:tcW w:w="70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8D08D" w:themeFill="accent6" w:themeFillTint="99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b/>
                <w:b/>
                <w:bCs/>
                <w:color w:val="000000"/>
                <w:lang w:val="hr-HR" w:eastAsia="en-GB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hr-HR" w:eastAsia="en-GB"/>
              </w:rPr>
              <w:t>Jezične strukture</w:t>
            </w:r>
          </w:p>
        </w:tc>
        <w:tc>
          <w:tcPr>
            <w:tcW w:w="5527" w:type="dxa"/>
            <w:tcBorders>
              <w:bottom w:val="single" w:sz="4" w:space="0" w:color="000000"/>
              <w:right w:val="single" w:sz="4" w:space="0" w:color="000000"/>
            </w:tcBorders>
            <w:shd w:color="auto" w:fill="A8D08D" w:themeFill="accent6" w:themeFillTint="99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b/>
                <w:b/>
                <w:bCs/>
                <w:color w:val="000000"/>
                <w:lang w:val="hr-HR" w:eastAsia="en-GB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hr-HR" w:eastAsia="en-GB"/>
              </w:rPr>
              <w:t>Jezično - komunikacijske funkcije</w:t>
            </w:r>
          </w:p>
        </w:tc>
      </w:tr>
      <w:tr>
        <w:trPr>
          <w:trHeight w:val="411" w:hRule="atLeast"/>
        </w:trPr>
        <w:tc>
          <w:tcPr>
            <w:tcW w:w="7083" w:type="dxa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  <w:t>-z</w:t>
            </w:r>
            <w: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avisno-složene rečenice (inverzija)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 xml:space="preserve">- zavisnosložene rečenice s veznicima </w:t>
            </w:r>
            <w:r>
              <w:rPr>
                <w:rFonts w:eastAsia="Times New Roman" w:cs="Calibri"/>
                <w:i/>
                <w:iCs/>
                <w:color w:val="000000"/>
                <w:sz w:val="18"/>
                <w:szCs w:val="18"/>
                <w:lang w:eastAsia="en-GB"/>
              </w:rPr>
              <w:t>wenn, weil, dass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 xml:space="preserve">- rečenice s </w:t>
            </w:r>
            <w:r>
              <w:rPr>
                <w:rFonts w:eastAsia="Times New Roman" w:cs="Calibri"/>
                <w:i/>
                <w:iCs/>
                <w:color w:val="000000"/>
                <w:sz w:val="18"/>
                <w:szCs w:val="18"/>
                <w:lang w:eastAsia="en-GB"/>
              </w:rPr>
              <w:t>würde, hätte</w:t>
            </w:r>
            <w: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 xml:space="preserve"> 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- djeljivi glagoli u zavisnoj rečenici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- glagoli s prijedlozima (rekcija glagola)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- relativne rečenice u nominativu I akuzativu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i/>
                <w:i/>
                <w:iCs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 xml:space="preserve">- konjunktiv II: </w:t>
            </w:r>
            <w:r>
              <w:rPr>
                <w:rFonts w:eastAsia="Times New Roman" w:cs="Calibri"/>
                <w:i/>
                <w:iCs/>
                <w:color w:val="000000"/>
                <w:sz w:val="18"/>
                <w:szCs w:val="18"/>
                <w:lang w:eastAsia="en-GB"/>
              </w:rPr>
              <w:t>sollte</w:t>
            </w:r>
            <w: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 xml:space="preserve"> I </w:t>
            </w:r>
            <w:r>
              <w:rPr>
                <w:rFonts w:eastAsia="Times New Roman" w:cs="Calibri"/>
                <w:i/>
                <w:iCs/>
                <w:color w:val="000000"/>
                <w:sz w:val="18"/>
                <w:szCs w:val="18"/>
                <w:lang w:eastAsia="en-GB"/>
              </w:rPr>
              <w:t>wäre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Calibri"/>
                <w:i/>
                <w:iCs/>
                <w:color w:val="000000"/>
                <w:sz w:val="18"/>
                <w:szCs w:val="18"/>
                <w:lang w:eastAsia="en-GB"/>
              </w:rPr>
              <w:t xml:space="preserve">- </w:t>
            </w:r>
            <w: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pogodbene rečenice (2. tip)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- neodređene zamjenice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i/>
                <w:i/>
                <w:iCs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 xml:space="preserve">- relativne rečenice s veznikom </w:t>
            </w:r>
            <w:r>
              <w:rPr>
                <w:rFonts w:eastAsia="Times New Roman" w:cs="Calibri"/>
                <w:i/>
                <w:iCs/>
                <w:color w:val="000000"/>
                <w:sz w:val="18"/>
                <w:szCs w:val="18"/>
                <w:lang w:eastAsia="en-GB"/>
              </w:rPr>
              <w:t>gdje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- neodređeni I određeni član u genitivu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 xml:space="preserve">- struktura “Infinitiv s </w:t>
            </w:r>
            <w:r>
              <w:rPr>
                <w:rFonts w:eastAsia="Times New Roman" w:cs="Calibri"/>
                <w:i/>
                <w:iCs/>
                <w:color w:val="000000"/>
                <w:sz w:val="18"/>
                <w:szCs w:val="18"/>
                <w:lang w:eastAsia="en-GB"/>
              </w:rPr>
              <w:t>zu</w:t>
            </w:r>
            <w: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”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 xml:space="preserve">- deklinacija pridjeva s određenim I neodređenim članom – ponavljanje 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- pridjevska deklinacija komparativa I superlativa s određenim I neodređenim članom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- relativne rečenice s prijedlozima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- pravilni glagoli u preteritu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- nepravilni glagoli u preteritu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i/>
                <w:i/>
                <w:iCs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 xml:space="preserve">- vremenske rečenice s </w:t>
            </w:r>
            <w:r>
              <w:rPr>
                <w:rFonts w:eastAsia="Times New Roman" w:cs="Calibri"/>
                <w:i/>
                <w:iCs/>
                <w:color w:val="000000"/>
                <w:sz w:val="18"/>
                <w:szCs w:val="18"/>
                <w:lang w:eastAsia="en-GB"/>
              </w:rPr>
              <w:t xml:space="preserve">als </w:t>
            </w:r>
            <w: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I</w:t>
            </w:r>
            <w:r>
              <w:rPr>
                <w:rFonts w:eastAsia="Times New Roman" w:cs="Calibri"/>
                <w:i/>
                <w:iCs/>
                <w:color w:val="000000"/>
                <w:sz w:val="18"/>
                <w:szCs w:val="18"/>
                <w:lang w:eastAsia="en-GB"/>
              </w:rPr>
              <w:t xml:space="preserve"> bis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i/>
                <w:i/>
                <w:iCs/>
                <w:color w:val="000000"/>
                <w:sz w:val="18"/>
                <w:szCs w:val="18"/>
                <w:lang w:val="de-DE" w:eastAsia="en-GB"/>
              </w:rPr>
            </w:pPr>
            <w:r>
              <w:rPr>
                <w:rFonts w:eastAsia="Times New Roman" w:cs="Calibri"/>
                <w:i/>
                <w:iCs/>
                <w:color w:val="000000"/>
                <w:sz w:val="18"/>
                <w:szCs w:val="18"/>
                <w:lang w:eastAsia="en-GB"/>
              </w:rPr>
              <w:t>- z</w:t>
            </w: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 xml:space="preserve">avisne rečenice s </w:t>
            </w:r>
            <w:r>
              <w:rPr>
                <w:rFonts w:eastAsia="Times New Roman" w:cs="Calibri"/>
                <w:i/>
                <w:iCs/>
                <w:color w:val="000000"/>
                <w:sz w:val="18"/>
                <w:szCs w:val="18"/>
                <w:lang w:val="hr-HR" w:eastAsia="en-GB"/>
              </w:rPr>
              <w:t>obwohl</w:t>
            </w: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 xml:space="preserve"> i </w:t>
            </w:r>
            <w:r>
              <w:rPr>
                <w:rFonts w:eastAsia="Times New Roman" w:cs="Calibri"/>
                <w:i/>
                <w:iCs/>
                <w:color w:val="000000"/>
                <w:sz w:val="18"/>
                <w:szCs w:val="18"/>
                <w:lang w:val="de-DE" w:eastAsia="en-GB"/>
              </w:rPr>
              <w:t>weil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de-DE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de-DE" w:eastAsia="en-GB"/>
              </w:rPr>
              <w:t>- strukture glagola s imenicom (</w:t>
            </w:r>
            <w:r>
              <w:rPr>
                <w:rFonts w:eastAsia="Times New Roman" w:cs="Calibri"/>
                <w:i/>
                <w:iCs/>
                <w:color w:val="000000"/>
                <w:sz w:val="18"/>
                <w:szCs w:val="18"/>
                <w:lang w:val="de-DE" w:eastAsia="en-GB"/>
              </w:rPr>
              <w:t>Nomen-Verb-Verbindungen/Funktionsverbgefüge</w:t>
            </w:r>
            <w:r>
              <w:rPr>
                <w:rFonts w:eastAsia="Times New Roman" w:cs="Calibri"/>
                <w:color w:val="000000"/>
                <w:sz w:val="18"/>
                <w:szCs w:val="18"/>
                <w:lang w:val="de-DE" w:eastAsia="en-GB"/>
              </w:rPr>
              <w:t>)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</w:r>
          </w:p>
        </w:tc>
        <w:tc>
          <w:tcPr>
            <w:tcW w:w="5527" w:type="dxa"/>
            <w:tcBorders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- opisivati aktivnosti u slobodno  vrijeme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- iznositi pretpostavke, izricati želju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 xml:space="preserve">- dati prijedlog I pravilno reagirati na isti 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- opisati prijatelje iz razreda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- dati savjet I izraziti pogodbu uz moguć uvjet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- opisati mjesto stanovanja I stambeni prostor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- voditi debatu, argumentirano raspravljati o različitim mjestima stanovanja, izraziti slaganje I neslaganje sa sugovornicima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 xml:space="preserve">- </w:t>
            </w: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>pričati o medijima, računalnim igricama i drugim hobijima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>- davati upute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>- izraziti prigovor i reklamaciju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>- usporediti cijene i usluge proizvoda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>- razumjeti reklame i oglase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>- izraditi reklamu za vlastiti proizvod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>- opisati nečiji izgled i promjenu izgleda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 xml:space="preserve">- izraziti vlastito mišljenje o odjevnim stilovima 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>- predstaviti i javno prezentirati knjigu po izboru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>- razumjeti kratice u SMS porukama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>- komunicirati u online okruženju / pisati email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>- uljudno osloviti sugovornika i pristojno se izražavati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>- pričati o događajima u prošlosti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>- izraditi vremensku crtu slavne osobe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>- opisati događaj u prošlosti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>- razumjeti različite običaje, dati savjet kod susreta s različitim običajima i tradicijom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>- pripremiti i voditi intervju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 xml:space="preserve">- pričati o različitim jezicima, važnosti poznavanja stranih jezika 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>- pričati o pripadnicima različitih društvenih grupa</w:t>
            </w:r>
          </w:p>
        </w:tc>
      </w:tr>
      <w:tr>
        <w:trPr>
          <w:trHeight w:val="68" w:hRule="atLeast"/>
        </w:trPr>
        <w:tc>
          <w:tcPr>
            <w:tcW w:w="70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</w:tc>
        <w:tc>
          <w:tcPr>
            <w:tcW w:w="55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</w:tc>
      </w:tr>
    </w:tbl>
    <w:p>
      <w:pPr>
        <w:pStyle w:val="Normal"/>
        <w:rPr>
          <w:lang w:val="hr-HR"/>
        </w:rPr>
      </w:pPr>
      <w:r>
        <w:rPr>
          <w:lang w:val="hr-HR"/>
        </w:rPr>
      </w:r>
    </w:p>
    <w:p>
      <w:pPr>
        <w:pStyle w:val="Normal"/>
        <w:rPr>
          <w:lang w:val="hr-HR"/>
        </w:rPr>
      </w:pPr>
      <w:r>
        <w:rPr>
          <w:lang w:val="hr-HR"/>
        </w:rPr>
      </w:r>
    </w:p>
    <w:p>
      <w:pPr>
        <w:pStyle w:val="Normal"/>
        <w:rPr>
          <w:lang w:val="hr-HR"/>
        </w:rPr>
      </w:pPr>
      <w:r>
        <w:rPr>
          <w:lang w:val="hr-HR"/>
        </w:rPr>
      </w:r>
    </w:p>
    <w:p>
      <w:pPr>
        <w:pStyle w:val="Normal"/>
        <w:rPr>
          <w:lang w:val="hr-HR"/>
        </w:rPr>
      </w:pPr>
      <w:r>
        <w:rPr>
          <w:lang w:val="hr-HR"/>
        </w:rPr>
      </w:r>
    </w:p>
    <w:p>
      <w:pPr>
        <w:pStyle w:val="Normal"/>
        <w:rPr>
          <w:lang w:val="hr-HR"/>
        </w:rPr>
      </w:pPr>
      <w:r>
        <w:rPr>
          <w:lang w:val="hr-HR"/>
        </w:rPr>
      </w:r>
    </w:p>
    <w:p>
      <w:pPr>
        <w:pStyle w:val="Normal"/>
        <w:rPr>
          <w:lang w:val="hr-HR"/>
        </w:rPr>
      </w:pPr>
      <w:r>
        <w:rPr>
          <w:lang w:val="hr-HR"/>
        </w:rPr>
      </w:r>
    </w:p>
    <w:p>
      <w:pPr>
        <w:pStyle w:val="Normal"/>
        <w:rPr>
          <w:lang w:val="hr-HR"/>
        </w:rPr>
      </w:pPr>
      <w:r>
        <w:rPr>
          <w:lang w:val="hr-HR"/>
        </w:rPr>
      </w:r>
    </w:p>
    <w:p>
      <w:pPr>
        <w:pStyle w:val="Normal"/>
        <w:rPr>
          <w:lang w:val="hr-HR"/>
        </w:rPr>
      </w:pPr>
      <w:r>
        <w:rPr>
          <w:lang w:val="hr-HR"/>
        </w:rPr>
      </w:r>
    </w:p>
    <w:p>
      <w:pPr>
        <w:pStyle w:val="Normal"/>
        <w:rPr>
          <w:lang w:val="hr-HR"/>
        </w:rPr>
      </w:pPr>
      <w:r>
        <w:rPr>
          <w:lang w:val="hr-HR"/>
        </w:rPr>
      </w:r>
    </w:p>
    <w:p>
      <w:pPr>
        <w:pStyle w:val="Normal"/>
        <w:rPr>
          <w:lang w:val="hr-HR"/>
        </w:rPr>
      </w:pPr>
      <w:r>
        <w:rPr>
          <w:lang w:val="hr-HR"/>
        </w:rPr>
      </w:r>
    </w:p>
    <w:p>
      <w:pPr>
        <w:pStyle w:val="Normal"/>
        <w:rPr>
          <w:lang w:val="hr-HR"/>
        </w:rPr>
      </w:pPr>
      <w:r>
        <w:rPr>
          <w:lang w:val="hr-HR"/>
        </w:rPr>
      </w:r>
    </w:p>
    <w:tbl>
      <w:tblPr>
        <w:tblW w:w="1399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270"/>
        <w:gridCol w:w="2569"/>
        <w:gridCol w:w="899"/>
        <w:gridCol w:w="1980"/>
        <w:gridCol w:w="3118"/>
        <w:gridCol w:w="2876"/>
        <w:gridCol w:w="1281"/>
      </w:tblGrid>
      <w:tr>
        <w:trPr>
          <w:trHeight w:val="1128" w:hRule="atLeast"/>
        </w:trPr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5E0B3" w:themeFill="accent6" w:themeFillTint="66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b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lang w:val="hr-HR"/>
              </w:rPr>
              <w:t xml:space="preserve"> </w:t>
            </w: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GB"/>
              </w:rPr>
              <w:t>MJESEC</w:t>
            </w:r>
          </w:p>
        </w:tc>
        <w:tc>
          <w:tcPr>
            <w:tcW w:w="25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5E0B3" w:themeFill="accent6" w:themeFillTint="66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b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GB"/>
              </w:rPr>
              <w:t>TEMA I PODTEMA</w:t>
            </w:r>
          </w:p>
        </w:tc>
        <w:tc>
          <w:tcPr>
            <w:tcW w:w="8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5E0B3" w:themeFill="accent6" w:themeFillTint="66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b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GB"/>
              </w:rPr>
              <w:t>BROJ SATI</w:t>
            </w:r>
          </w:p>
        </w:tc>
        <w:tc>
          <w:tcPr>
            <w:tcW w:w="19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5E0B3" w:themeFill="accent6" w:themeFillTint="66" w:val="clear"/>
            <w:vAlign w:val="center"/>
          </w:tcPr>
          <w:p>
            <w:pPr>
              <w:pStyle w:val="ListParagraph"/>
              <w:widowControl w:val="false"/>
              <w:spacing w:lineRule="auto" w:line="240" w:before="0" w:after="0"/>
              <w:contextualSpacing/>
              <w:rPr>
                <w:rFonts w:ascii="Calibri" w:hAnsi="Calibri" w:eastAsia="Times New Roman" w:cs="Calibri"/>
                <w:b/>
                <w:b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b/>
                <w:b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GB"/>
              </w:rPr>
              <w:t>A.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b/>
                <w:b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GB"/>
              </w:rPr>
              <w:t>KOMUNIKACIJSKA JEZIČNA KOMPETENCIJA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b/>
                <w:b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GB"/>
              </w:rPr>
              <w:t>B.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b/>
                <w:b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GB"/>
              </w:rPr>
              <w:t>MEĐUKULTURNA KOMUNIKACIJSKA KOMPETENCIJA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b/>
                <w:b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GB"/>
              </w:rPr>
              <w:t xml:space="preserve">C. 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b/>
                <w:b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GB"/>
              </w:rPr>
              <w:t>SAMOSTALNOST U OVLADAVANJU JEZIKOM</w:t>
            </w:r>
          </w:p>
        </w:tc>
        <w:tc>
          <w:tcPr>
            <w:tcW w:w="31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5E0B3" w:themeFill="accent6" w:themeFillTint="66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b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GB"/>
              </w:rPr>
              <w:t>KORELACIJA S MEĐUPREDMETNIM TEMAMA I DRUGIM PREDMETIMA</w:t>
            </w:r>
          </w:p>
        </w:tc>
        <w:tc>
          <w:tcPr>
            <w:tcW w:w="28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5E0B3" w:themeFill="accent6" w:themeFillTint="66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b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GB"/>
              </w:rPr>
              <w:t>JEZIČNI SADRŽAJI</w:t>
            </w:r>
          </w:p>
        </w:tc>
        <w:tc>
          <w:tcPr>
            <w:tcW w:w="12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5E0B3" w:themeFill="accent6" w:themeFillTint="66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b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n-GB"/>
              </w:rPr>
              <w:t>NASTAVNE JEDINICE</w:t>
            </w:r>
          </w:p>
        </w:tc>
      </w:tr>
      <w:tr>
        <w:trPr>
          <w:trHeight w:val="2820" w:hRule="atLeast"/>
        </w:trPr>
        <w:tc>
          <w:tcPr>
            <w:tcW w:w="12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E599" w:themeFill="accent4" w:themeFillTint="66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  <w:t>RUJAN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  <w:t> 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LISTOPAD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STUDENI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</w:tc>
        <w:tc>
          <w:tcPr>
            <w:tcW w:w="2569" w:type="dxa"/>
            <w:tcBorders>
              <w:top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Spacing"/>
              <w:widowControl w:val="false"/>
              <w:rPr>
                <w:lang w:val="hr-HR" w:eastAsia="hr-HR"/>
              </w:rPr>
            </w:pPr>
            <w:r>
              <w:rPr>
                <w:rFonts w:cs="Calibri" w:cstheme="minorHAnsi"/>
                <w:sz w:val="20"/>
                <w:szCs w:val="20"/>
                <w:lang w:val="hr-HR" w:eastAsia="hr-HR"/>
              </w:rPr>
              <w:t>Ponavljanje tematskih cjelina obrađenih tijekom poučavanja Njemačkog jezika 7. razreda</w:t>
            </w:r>
            <w:r>
              <w:rPr>
                <w:lang w:val="hr-HR" w:eastAsia="hr-HR"/>
              </w:rPr>
              <w:t xml:space="preserve"> </w:t>
            </w:r>
          </w:p>
          <w:p>
            <w:pPr>
              <w:pStyle w:val="NoSpacing"/>
              <w:widowControl w:val="false"/>
              <w:rPr>
                <w:lang w:eastAsia="hr-HR"/>
              </w:rPr>
            </w:pPr>
            <w:r>
              <w:rPr>
                <w:lang w:eastAsia="hr-HR"/>
              </w:rPr>
            </w:r>
          </w:p>
          <w:p>
            <w:pPr>
              <w:pStyle w:val="NoSpacing"/>
              <w:widowControl w:val="false"/>
              <w:rPr>
                <w:b/>
                <w:b/>
                <w:bCs/>
                <w:lang w:eastAsia="hr-HR"/>
              </w:rPr>
            </w:pPr>
            <w:r>
              <w:rPr>
                <w:b/>
                <w:bCs/>
                <w:lang w:eastAsia="hr-HR"/>
              </w:rPr>
              <w:t xml:space="preserve">Svakodnevnica </w:t>
            </w:r>
          </w:p>
          <w:p>
            <w:pPr>
              <w:pStyle w:val="NoSpacing"/>
              <w:widowControl w:val="false"/>
              <w:rPr>
                <w:sz w:val="18"/>
                <w:szCs w:val="18"/>
                <w:lang w:eastAsia="hr-HR"/>
              </w:rPr>
            </w:pPr>
            <w:r>
              <w:rPr>
                <w:sz w:val="18"/>
                <w:szCs w:val="18"/>
                <w:lang w:eastAsia="hr-HR"/>
              </w:rPr>
              <w:t>-  aktivnosti u slobodno vrijeme    - izražavanje pretpostavki</w:t>
            </w:r>
          </w:p>
          <w:p>
            <w:pPr>
              <w:pStyle w:val="NoSpacing"/>
              <w:widowControl w:val="false"/>
              <w:rPr>
                <w:sz w:val="18"/>
                <w:szCs w:val="18"/>
                <w:lang w:eastAsia="hr-HR"/>
              </w:rPr>
            </w:pPr>
            <w:r>
              <w:rPr>
                <w:sz w:val="18"/>
                <w:szCs w:val="18"/>
                <w:lang w:eastAsia="hr-HR"/>
              </w:rPr>
              <w:t xml:space="preserve">- izricanje želja </w:t>
            </w:r>
          </w:p>
          <w:p>
            <w:pPr>
              <w:pStyle w:val="NoSpacing"/>
              <w:widowControl w:val="false"/>
              <w:rPr>
                <w:sz w:val="18"/>
                <w:szCs w:val="18"/>
                <w:lang w:eastAsia="hr-HR"/>
              </w:rPr>
            </w:pPr>
            <w:r>
              <w:rPr>
                <w:sz w:val="18"/>
                <w:szCs w:val="18"/>
                <w:lang w:eastAsia="hr-HR"/>
              </w:rPr>
              <w:t>- davanje prijedloga</w:t>
            </w:r>
          </w:p>
          <w:p>
            <w:pPr>
              <w:pStyle w:val="NoSpacing"/>
              <w:widowControl w:val="false"/>
              <w:rPr>
                <w:sz w:val="18"/>
                <w:szCs w:val="18"/>
                <w:lang w:eastAsia="hr-HR"/>
              </w:rPr>
            </w:pPr>
            <w:r>
              <w:rPr>
                <w:sz w:val="18"/>
                <w:szCs w:val="18"/>
                <w:lang w:eastAsia="hr-HR"/>
              </w:rPr>
              <w:t>- ponavljanje: slušanje s razumijevanjem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lang w:eastAsia="hr-HR"/>
              </w:rPr>
            </w:pPr>
            <w:r>
              <w:rPr>
                <w:b/>
                <w:bCs/>
                <w:lang w:eastAsia="hr-HR"/>
              </w:rPr>
              <w:t>Vršnjaci, prijatelji I obitelj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- opisati prijatelje iz razreda, članove obitelji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- dati savjet I izraziti pogodbu uz moguć uvjet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- razmjena učenika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- ponavljanje: čitanje s razumijevanjem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- razvijanje vještine pisanja: Austauschland / napisati email</w:t>
            </w:r>
          </w:p>
        </w:tc>
        <w:tc>
          <w:tcPr>
            <w:tcW w:w="899" w:type="dxa"/>
            <w:tcBorders>
              <w:top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  <w:t xml:space="preserve">2 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  <w:t>12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4"/>
                <w:szCs w:val="14"/>
                <w:lang w:eastAsia="en-GB"/>
              </w:rPr>
            </w:pPr>
            <w:r>
              <w:rPr>
                <w:rFonts w:eastAsia="Times New Roman" w:cs="Calibri"/>
                <w:color w:val="000000"/>
                <w:sz w:val="14"/>
                <w:szCs w:val="14"/>
                <w:lang w:eastAsia="en-GB"/>
              </w:rPr>
              <w:t>(8 rujan)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4"/>
                <w:szCs w:val="14"/>
                <w:lang w:eastAsia="en-GB"/>
              </w:rPr>
            </w:pPr>
            <w:r>
              <w:rPr>
                <w:rFonts w:eastAsia="Times New Roman" w:cs="Calibri"/>
                <w:color w:val="000000"/>
                <w:sz w:val="14"/>
                <w:szCs w:val="14"/>
                <w:lang w:eastAsia="en-GB"/>
              </w:rPr>
              <w:t>(4 listopad)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4"/>
                <w:szCs w:val="14"/>
                <w:lang w:eastAsia="en-GB"/>
              </w:rPr>
            </w:pPr>
            <w:r>
              <w:rPr>
                <w:rFonts w:eastAsia="Times New Roman" w:cs="Calibri"/>
                <w:color w:val="000000"/>
                <w:sz w:val="14"/>
                <w:szCs w:val="14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  <w:t>12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4"/>
                <w:szCs w:val="14"/>
                <w:lang w:eastAsia="en-GB"/>
              </w:rPr>
            </w:pPr>
            <w:r>
              <w:rPr>
                <w:rFonts w:eastAsia="Times New Roman" w:cs="Calibri"/>
                <w:color w:val="000000"/>
                <w:sz w:val="14"/>
                <w:szCs w:val="14"/>
                <w:lang w:eastAsia="en-GB"/>
              </w:rPr>
              <w:t>(1 provjera)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4"/>
                <w:szCs w:val="14"/>
                <w:lang w:eastAsia="en-GB"/>
              </w:rPr>
            </w:pPr>
            <w:r>
              <w:rPr>
                <w:rFonts w:eastAsia="Times New Roman" w:cs="Calibri"/>
                <w:color w:val="000000"/>
                <w:sz w:val="14"/>
                <w:szCs w:val="14"/>
                <w:lang w:eastAsia="en-GB"/>
              </w:rPr>
              <w:t>(7 listopad)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4"/>
                <w:szCs w:val="14"/>
                <w:lang w:eastAsia="en-GB"/>
              </w:rPr>
            </w:pPr>
            <w:r>
              <w:rPr>
                <w:rFonts w:eastAsia="Times New Roman" w:cs="Calibri"/>
                <w:color w:val="000000"/>
                <w:sz w:val="14"/>
                <w:szCs w:val="14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4"/>
                <w:szCs w:val="14"/>
                <w:lang w:eastAsia="en-GB"/>
              </w:rPr>
            </w:pPr>
            <w:r>
              <w:rPr>
                <w:rFonts w:eastAsia="Times New Roman" w:cs="Calibri"/>
                <w:color w:val="000000"/>
                <w:sz w:val="14"/>
                <w:szCs w:val="14"/>
                <w:lang w:eastAsia="en-GB"/>
              </w:rPr>
              <w:t>(5 studeni)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  <w:t>OŠ (1) NJ A.8.1. Učenik razumije srednje duge i jednostavne tekstove pri slušanju i čitanju.</w:t>
            </w:r>
          </w:p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  <w:t>OŠ (1) NJ A.8.2. Učenik proizvodi kratke i jednostavne govorne tekstove.</w:t>
            </w:r>
          </w:p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  <w:t>OŠ (1) NJ A.8.3. Učenik sudjeluje u kratkoj i jednostavnoj govornoj interakciji.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lang w:val="hr-HR"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val="hr-HR" w:eastAsia="en-GB"/>
              </w:rPr>
            </w:pPr>
            <w:r>
              <w:rPr/>
              <w:t>OŠ (1) NJ A.8.4. Učenik piše kratke i jednostavne tekstove.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lang w:val="hr-HR"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  <w:t>OŠ (1) NJ B.8.1. Učenik izvještava o različitim informacijama, sličnostima i razlikama između vlastite kulture i kultura povezanih s njemačkim jezikom u aspektima svakodnevnoga života i aktualnih događanja te u značenju i uporabi pojedinih jezičnih izričaja i načina ponašanja.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  <w:t>OŠ (1) NJ B. 8.2. Učenik primjenjuje primjerene obrasce ponašanja u poznatim situacijama.</w:t>
            </w:r>
          </w:p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val="hr-HR" w:eastAsia="en-GB"/>
              </w:rPr>
            </w:pPr>
            <w:r>
              <w:rPr/>
              <w:t>OŠ (1) NJ B. 8.3. Učenik poštuje jezičnu, kulturnu i osobnu različitost u osobnome okružju i široj zajednici.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  <w:t>OŠ (1) NJ C.8.1. Učenik kombinira i primjenjuje veći broj strategija učenja i uporabe jezika koje odgovaraju njegovu stilu učenja te primjenjuje oblike samoprocjene i međusobne procjene.</w:t>
            </w:r>
          </w:p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  <w:t xml:space="preserve"> </w:t>
            </w:r>
          </w:p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  <w:t>OŠ (1) NJ C. 8.2. Učenik uspoređuje i vrednuje informacije iz različitih izvora na stranome jeziku i pritom se služi osnovnim vještinama kritičkoga mišljenja.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lang w:val="hr-HR"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lang w:val="hr-HR"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lang w:val="hr-HR"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>osr A.3.1. Razvija sliku o sebi.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>osr A.3.3. Razvija osobne potencijale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>osr B.3.4. Suradnički uči i radi u timu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>osr B.3.1. Obrazlaže i uvažava potrebe i osjećaje drugih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>osr C.3.1. Razlikuje sigurne od rizičnih situacija i ima razvijene osnovne strategije samozaštite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>osr C.3.4. Razvija nacionalni i kulturni identitet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>osr B.3.2. Razvija komunikacijske kompetencije i uvažavajuće odnose s drugima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>osr B.3.3. Razvija strategije rješavanja sukoba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>osr C.3.2. Prepoznaje važnost odgovornosti pojedinca u društvu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>osr A.3.2. Upravlja emocijama i ponašanjem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>osr A.3.4. Upravlja svojim obrazovnim i profesionalnim putem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>uku A.3.1 Upravljanje informacijama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>uku A.3.2. Primjena strategija učenja i rješavanje problema                                                   uku A.3.3. Kreativno mišljenje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>uku A.3.4. Kritičko mišljenje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>uku B.3.1. Planiranje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>uku B.3.2. Praćenje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>uku B.3.3. Prilagodba učenja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>uku B.3.4. Samovrednovanje/ samoprocjena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>uku C.3.2. Slika o sebi kao učeniku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>uku D.3.2. Suradnja s drugima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>goo A.3.3. Promiče ljudska prava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>goo A.3.5. Promiče ravnopravnost spolova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>zdr A.3.1.A Pravilno organizira vrijeme za rad i odmor tijekom dana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>zdr B.3.1.Razlikuje i vrednuje različite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>načine komunikacije i ponašanja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>zdr B.3.3. Povezuje samopoštovanje s rizičnim ponašanjima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>zdr C.3.1. Obrazlaže potencijalne opasnosti u kućanstvu i okolini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>zdr B.3.1. A. Opisuje i procjenjuje vršnjački pritisak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>zdr B.3.2. / A. Prepoznaje utjecaj razvojnih promjena na emocije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>zdr A.3.2. / D Opisuje važnost redovitog tjelesnog vježbanja kao važnog čimbenika regulacije tjelesne mase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>zdr C.3.2. / D Razumije važnost pronalaženja vjerodostojnih i pouzdanih informacija o zdravlju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>pod A.3.3. Upoznaje i kritički sagledava mogućnosti razvoja karijere i profesionalnog usmjeravanja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>pod A.3.1. Primjenjuje inovativna i kreativna rješenja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>pod C.3.3. Upravlja osobnim financijama i prepoznaje tijek novca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>pod B.3.1. Razvija poduzetničku ideju od koncepata do realizacije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>pod B.3.2. Planira i upravlja aktivnostima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color w:val="231F20"/>
                <w:sz w:val="18"/>
                <w:szCs w:val="18"/>
                <w:shd w:fill="FFFFFF" w:val="clear"/>
                <w:lang w:val="hr-HR"/>
              </w:rPr>
            </w:pPr>
            <w:r>
              <w:rPr>
                <w:color w:val="231F20"/>
                <w:sz w:val="18"/>
                <w:szCs w:val="18"/>
                <w:shd w:fill="FFFFFF" w:val="clear"/>
                <w:lang w:val="hr-HR"/>
              </w:rPr>
              <w:t>ikt A.3.1 Učenik samostalno odabire odgovarajuću digitalnu tehnologiju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color w:val="231F20"/>
                <w:sz w:val="18"/>
                <w:szCs w:val="18"/>
                <w:shd w:fill="FFFFFF" w:val="clear"/>
                <w:lang w:val="hr-HR"/>
              </w:rPr>
            </w:pPr>
            <w:r>
              <w:rPr>
                <w:color w:val="231F20"/>
                <w:sz w:val="18"/>
                <w:szCs w:val="18"/>
                <w:shd w:fill="FFFFFF" w:val="clear"/>
                <w:lang w:val="hr-HR"/>
              </w:rPr>
              <w:t>ikt A.3.2. Učenik se samostalno koristi raznim uređajima i programima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color w:val="231F20"/>
                <w:sz w:val="18"/>
                <w:szCs w:val="18"/>
                <w:shd w:fill="FFFFFF" w:val="clear"/>
                <w:lang w:val="hr-HR"/>
              </w:rPr>
            </w:pPr>
            <w:r>
              <w:rPr>
                <w:color w:val="231F20"/>
                <w:sz w:val="18"/>
                <w:szCs w:val="18"/>
                <w:shd w:fill="FFFFFF" w:val="clear"/>
                <w:lang w:val="hr-HR"/>
              </w:rPr>
              <w:t>ikt A.3.4. Učenik analizira utjecaj tehnologije na zdravlje i okoliš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color w:val="231F20"/>
                <w:sz w:val="18"/>
                <w:szCs w:val="18"/>
                <w:shd w:fill="FFFFFF" w:val="clear"/>
                <w:lang w:val="hr-HR"/>
              </w:rPr>
            </w:pPr>
            <w:r>
              <w:rPr>
                <w:color w:val="231F20"/>
                <w:sz w:val="18"/>
                <w:szCs w:val="18"/>
                <w:shd w:fill="FFFFFF" w:val="clear"/>
                <w:lang w:val="hr-HR"/>
              </w:rPr>
              <w:t>ikt B.3.1. Učenik samostalno komunicira s poznatim osobama u sigurnome digitalnom okružju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color w:val="231F20"/>
                <w:sz w:val="18"/>
                <w:szCs w:val="18"/>
                <w:shd w:fill="FFFFFF" w:val="clear"/>
                <w:lang w:val="hr-HR"/>
              </w:rPr>
            </w:pPr>
            <w:r>
              <w:rPr>
                <w:color w:val="231F20"/>
                <w:sz w:val="18"/>
                <w:szCs w:val="18"/>
                <w:shd w:fill="FFFFFF" w:val="clear"/>
                <w:lang w:val="hr-HR"/>
              </w:rPr>
              <w:t>ikt B.3.3.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color w:val="231F20"/>
                <w:sz w:val="18"/>
                <w:szCs w:val="18"/>
                <w:shd w:fill="FFFFFF" w:val="clear"/>
                <w:lang w:val="hr-HR"/>
              </w:rPr>
            </w:pPr>
            <w:r>
              <w:rPr>
                <w:color w:val="231F20"/>
                <w:sz w:val="18"/>
                <w:szCs w:val="18"/>
                <w:shd w:fill="FFFFFF" w:val="clear"/>
                <w:lang w:val="hr-HR"/>
              </w:rPr>
              <w:t>Učenik poštuje međukulturne različitosti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color w:val="231F20"/>
                <w:sz w:val="18"/>
                <w:szCs w:val="18"/>
                <w:shd w:fill="FFFFFF" w:val="clear"/>
                <w:lang w:val="hr-HR"/>
              </w:rPr>
            </w:pPr>
            <w:r>
              <w:rPr>
                <w:color w:val="231F20"/>
                <w:sz w:val="18"/>
                <w:szCs w:val="18"/>
                <w:shd w:fill="FFFFFF" w:val="clear"/>
                <w:lang w:val="hr-HR"/>
              </w:rPr>
              <w:t>ikt C.3.1. Učenik samostalno provodi jednostavno istraživanje, a uz učiteljevu pomoć složeno istraživanje radi rješavanja problema u digitalnome okružju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color w:val="231F20"/>
                <w:sz w:val="18"/>
                <w:szCs w:val="18"/>
                <w:shd w:fill="FFFFFF" w:val="clear"/>
                <w:lang w:val="hr-HR"/>
              </w:rPr>
            </w:pPr>
            <w:r>
              <w:rPr>
                <w:color w:val="231F20"/>
                <w:sz w:val="18"/>
                <w:szCs w:val="18"/>
                <w:shd w:fill="FFFFFF" w:val="clear"/>
                <w:lang w:val="hr-HR"/>
              </w:rPr>
              <w:t>ikt C.3.2. Učenik samostalno i djelotvorno provodi jednostavno pretraživanje, a uz učiteljevu pomoć složeno pretraživanje informacija u digitalnome okruženju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>ikt C.3.3. Učenik samostalno ili uz manju pomoć učitelja procjenjuje i odabire potrebne među pronađenim informacijama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>ikt C.3.4. Učenik uz učiteljevu pomoć ili samostalno odgovorno upravlja prikupljenim informacijama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>ikt D.3.1. Učenik se izražava kreativno služeći se primjerenom tehnologijom za stvaranje ideja i razvijanje planova te primjenjuje različite načine poticanja kreativnosti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cs="Calibri" w:cstheme="minorHAnsi"/>
                <w:color w:val="231F20"/>
                <w:sz w:val="18"/>
                <w:szCs w:val="18"/>
                <w:shd w:fill="FFFFFF" w:val="clear"/>
              </w:rPr>
            </w:pPr>
            <w:r>
              <w:rPr>
                <w:rFonts w:cs="Calibri" w:cstheme="minorHAnsi"/>
                <w:color w:val="231F20"/>
                <w:sz w:val="18"/>
                <w:szCs w:val="18"/>
                <w:shd w:fill="FFFFFF" w:val="clear"/>
              </w:rPr>
              <w:t>odr A.3.1. Objašnjava osnovne sastavnice prirodne raznolikosti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Calibri" w:cstheme="minorHAnsi"/>
                <w:color w:val="000000"/>
                <w:sz w:val="18"/>
                <w:szCs w:val="18"/>
                <w:lang w:eastAsia="en-GB"/>
              </w:rPr>
              <w:t>odr A.3.3. Razmatra uzroke ugroženosti prirode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Calibri" w:cstheme="minorHAnsi"/>
                <w:color w:val="000000"/>
                <w:sz w:val="18"/>
                <w:szCs w:val="18"/>
                <w:lang w:eastAsia="en-GB"/>
              </w:rPr>
              <w:t>odr A.3.4. Objašnjava povezanost ekonomskih aktivnosti sa stanjem u okolišu i društvu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 w:cstheme="minorHAns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 w:cstheme="minorHAnsi"/>
                <w:color w:val="000000"/>
                <w:sz w:val="18"/>
                <w:szCs w:val="18"/>
                <w:lang w:eastAsia="en-GB"/>
              </w:rPr>
              <w:t>odr B.3.1. Prosuđuje kako različiti oblici djelovanja utječu na održivi razvoj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odr C.3.1. Može objasniti kako stanje u okolišu utječe na dobrobit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odr C.3.3. Ističe važnost demokracije u političkim sustavima za dobrobit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odr C.3.4. Procjenjuje važnost pravednosti u društvu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</w:tc>
        <w:tc>
          <w:tcPr>
            <w:tcW w:w="28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 xml:space="preserve">- </w:t>
            </w:r>
            <w: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 xml:space="preserve">zavisnosložene rečenice  s veznicima </w:t>
            </w:r>
            <w:r>
              <w:rPr>
                <w:rFonts w:eastAsia="Times New Roman" w:cs="Calibri"/>
                <w:i/>
                <w:iCs/>
                <w:color w:val="000000"/>
                <w:sz w:val="18"/>
                <w:szCs w:val="18"/>
                <w:lang w:eastAsia="en-GB"/>
              </w:rPr>
              <w:t>wenn, weil, dass</w:t>
            </w:r>
            <w: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 xml:space="preserve"> 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- zavisnosložene rečenice (inverzija)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 xml:space="preserve">- rečenice s </w:t>
            </w:r>
            <w:r>
              <w:rPr>
                <w:rFonts w:eastAsia="Times New Roman" w:cs="Calibri"/>
                <w:i/>
                <w:iCs/>
                <w:color w:val="000000"/>
                <w:sz w:val="18"/>
                <w:szCs w:val="18"/>
                <w:lang w:eastAsia="en-GB"/>
              </w:rPr>
              <w:t>würde, hätte</w:t>
            </w:r>
            <w: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 xml:space="preserve"> 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- djeljivi glagoli u zavisnoj rečenici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- glagoli s prijedlozima (rekcija glagola)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>-</w:t>
            </w:r>
            <w: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 xml:space="preserve"> relativne rečenice u nominativu I akuzativu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i/>
                <w:i/>
                <w:iCs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 xml:space="preserve">- konjunktiv II: </w:t>
            </w:r>
            <w:r>
              <w:rPr>
                <w:rFonts w:eastAsia="Times New Roman" w:cs="Calibri"/>
                <w:i/>
                <w:iCs/>
                <w:color w:val="000000"/>
                <w:sz w:val="18"/>
                <w:szCs w:val="18"/>
                <w:lang w:eastAsia="en-GB"/>
              </w:rPr>
              <w:t>sollte</w:t>
            </w:r>
            <w: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 xml:space="preserve"> I </w:t>
            </w:r>
            <w:r>
              <w:rPr>
                <w:rFonts w:eastAsia="Times New Roman" w:cs="Calibri"/>
                <w:i/>
                <w:iCs/>
                <w:color w:val="000000"/>
                <w:sz w:val="18"/>
                <w:szCs w:val="18"/>
                <w:lang w:eastAsia="en-GB"/>
              </w:rPr>
              <w:t>wäre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Calibri"/>
                <w:i/>
                <w:iCs/>
                <w:color w:val="000000"/>
                <w:sz w:val="18"/>
                <w:szCs w:val="18"/>
                <w:lang w:eastAsia="en-GB"/>
              </w:rPr>
              <w:t xml:space="preserve">- </w:t>
            </w:r>
            <w: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pogodbene rečenice (2. tip)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- neodređene zamjenice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i/>
                <w:i/>
                <w:iCs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 xml:space="preserve">- relativne rečenice s veznikom </w:t>
            </w:r>
            <w:r>
              <w:rPr>
                <w:rFonts w:eastAsia="Times New Roman" w:cs="Calibri"/>
                <w:i/>
                <w:iCs/>
                <w:color w:val="000000"/>
                <w:sz w:val="18"/>
                <w:szCs w:val="18"/>
                <w:lang w:eastAsia="en-GB"/>
              </w:rPr>
              <w:t>gdje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 xml:space="preserve"> 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i/>
                <w:i/>
                <w:iCs/>
                <w:color w:val="000000"/>
                <w:sz w:val="18"/>
                <w:szCs w:val="18"/>
                <w:lang w:val="de-DE" w:eastAsia="en-GB"/>
              </w:rPr>
            </w:pPr>
            <w:r>
              <w:rPr>
                <w:rFonts w:eastAsia="Times New Roman" w:cs="Calibri"/>
                <w:i/>
                <w:iCs/>
                <w:color w:val="000000"/>
                <w:sz w:val="18"/>
                <w:szCs w:val="18"/>
                <w:lang w:val="de-DE"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- neodređeni član u genitivu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de-DE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de-DE"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i/>
                <w:i/>
                <w:iCs/>
                <w:color w:val="000000"/>
                <w:sz w:val="18"/>
                <w:szCs w:val="18"/>
                <w:lang w:val="de-DE" w:eastAsia="en-GB"/>
              </w:rPr>
            </w:pPr>
            <w:r>
              <w:rPr>
                <w:rFonts w:eastAsia="Times New Roman" w:cs="Calibri"/>
                <w:i/>
                <w:iCs/>
                <w:color w:val="000000"/>
                <w:sz w:val="18"/>
                <w:szCs w:val="18"/>
                <w:lang w:val="de-DE"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i/>
                <w:i/>
                <w:iCs/>
                <w:color w:val="000000"/>
                <w:sz w:val="18"/>
                <w:szCs w:val="18"/>
                <w:lang w:val="de-DE" w:eastAsia="en-GB"/>
              </w:rPr>
            </w:pPr>
            <w:r>
              <w:rPr>
                <w:rFonts w:eastAsia="Times New Roman" w:cs="Calibri"/>
                <w:i/>
                <w:iCs/>
                <w:color w:val="000000"/>
                <w:sz w:val="18"/>
                <w:szCs w:val="18"/>
                <w:lang w:val="de-DE"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i/>
                <w:i/>
                <w:iCs/>
                <w:color w:val="000000"/>
                <w:sz w:val="18"/>
                <w:szCs w:val="18"/>
                <w:lang w:val="de-DE" w:eastAsia="en-GB"/>
              </w:rPr>
            </w:pPr>
            <w:r>
              <w:rPr>
                <w:rFonts w:eastAsia="Times New Roman" w:cs="Calibri"/>
                <w:i/>
                <w:iCs/>
                <w:color w:val="000000"/>
                <w:sz w:val="18"/>
                <w:szCs w:val="18"/>
                <w:lang w:val="de-DE"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lang w:val="hr-HR"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lang w:val="hr-HR"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lang w:val="hr-HR"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lang w:val="hr-HR"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lang w:val="hr-HR"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lang w:val="hr-HR"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lang w:val="hr-HR"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lang w:val="hr-HR"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lang w:val="hr-HR"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lang w:val="hr-HR"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lang w:val="hr-HR"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lang w:val="hr-HR"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lang w:val="hr-HR"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lang w:val="hr-HR"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lang w:val="hr-HR"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lang w:val="hr-HR"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- neodređeni I određeni član u genitivu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 xml:space="preserve">- struktura “Infinitiv s </w:t>
            </w:r>
            <w:r>
              <w:rPr>
                <w:rFonts w:eastAsia="Times New Roman" w:cs="Calibri"/>
                <w:i/>
                <w:iCs/>
                <w:color w:val="000000"/>
                <w:sz w:val="18"/>
                <w:szCs w:val="18"/>
                <w:lang w:eastAsia="en-GB"/>
              </w:rPr>
              <w:t>zu</w:t>
            </w:r>
            <w: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”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 xml:space="preserve">                                                                 </w:t>
            </w:r>
            <w: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 xml:space="preserve">- deklinacija pridjeva s određenim I neodređenim članom 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- pridjevska deklinacija komparativa I superlativa s određenim I neodređenim članom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lang w:val="hr-HR"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i/>
                <w:i/>
                <w:iCs/>
                <w:color w:val="000000"/>
                <w:lang w:val="de-DE" w:eastAsia="en-GB"/>
              </w:rPr>
            </w:pPr>
            <w:r>
              <w:rPr>
                <w:rFonts w:eastAsia="Times New Roman" w:cs="Calibri"/>
                <w:i/>
                <w:iCs/>
                <w:color w:val="000000"/>
                <w:lang w:val="de-DE"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i/>
                <w:i/>
                <w:iCs/>
                <w:color w:val="000000"/>
                <w:lang w:val="de-DE" w:eastAsia="en-GB"/>
              </w:rPr>
            </w:pPr>
            <w:r>
              <w:rPr>
                <w:rFonts w:eastAsia="Times New Roman" w:cs="Calibri"/>
                <w:i/>
                <w:iCs/>
                <w:color w:val="000000"/>
                <w:lang w:val="de-DE"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i/>
                <w:i/>
                <w:iCs/>
                <w:color w:val="000000"/>
                <w:lang w:val="de-DE" w:eastAsia="en-GB"/>
              </w:rPr>
            </w:pPr>
            <w:r>
              <w:rPr>
                <w:rFonts w:eastAsia="Times New Roman" w:cs="Calibri"/>
                <w:i/>
                <w:iCs/>
                <w:color w:val="000000"/>
                <w:lang w:val="de-DE"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- relativne rečenice s prijedlozima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- pravilni glagoli u preteritu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val="de-DE" w:eastAsia="en-GB"/>
              </w:rPr>
            </w:pPr>
            <w:r>
              <w:rPr>
                <w:rFonts w:eastAsia="Times New Roman" w:cs="Calibri"/>
                <w:color w:val="000000"/>
                <w:lang w:val="de-DE"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i/>
                <w:i/>
                <w:iCs/>
                <w:color w:val="000000"/>
                <w:sz w:val="18"/>
                <w:szCs w:val="18"/>
                <w:lang w:val="de-DE" w:eastAsia="en-GB"/>
              </w:rPr>
            </w:pPr>
            <w:r>
              <w:rPr>
                <w:rFonts w:eastAsia="Times New Roman" w:cs="Calibri"/>
                <w:i/>
                <w:iCs/>
                <w:color w:val="000000"/>
                <w:sz w:val="18"/>
                <w:szCs w:val="18"/>
                <w:lang w:val="de-DE"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lang w:val="hr-HR"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lang w:val="hr-HR"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lang w:val="hr-HR"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lang w:val="hr-HR"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lang w:val="hr-HR"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lang w:val="hr-HR"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lang w:val="hr-HR"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lang w:val="hr-HR"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lang w:val="hr-HR"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- nepravilni glagoli u preteritu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i/>
                <w:i/>
                <w:iCs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 xml:space="preserve">- vremenske rečenice s </w:t>
            </w:r>
            <w:r>
              <w:rPr>
                <w:rFonts w:eastAsia="Times New Roman" w:cs="Calibri"/>
                <w:i/>
                <w:iCs/>
                <w:color w:val="000000"/>
                <w:sz w:val="18"/>
                <w:szCs w:val="18"/>
                <w:lang w:eastAsia="en-GB"/>
              </w:rPr>
              <w:t xml:space="preserve">als </w:t>
            </w:r>
            <w: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I</w:t>
            </w:r>
            <w:r>
              <w:rPr>
                <w:rFonts w:eastAsia="Times New Roman" w:cs="Calibri"/>
                <w:i/>
                <w:iCs/>
                <w:color w:val="000000"/>
                <w:sz w:val="18"/>
                <w:szCs w:val="18"/>
                <w:lang w:eastAsia="en-GB"/>
              </w:rPr>
              <w:t xml:space="preserve"> bis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lang w:val="hr-HR"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lang w:val="hr-HR"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lang w:val="hr-HR"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lang w:val="hr-HR"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lang w:val="hr-HR"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lang w:val="hr-HR"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lang w:val="hr-HR"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lang w:val="hr-HR"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lang w:val="hr-HR"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i/>
                <w:i/>
                <w:iCs/>
                <w:color w:val="000000"/>
                <w:sz w:val="18"/>
                <w:szCs w:val="18"/>
                <w:lang w:val="de-DE" w:eastAsia="en-GB"/>
              </w:rPr>
            </w:pPr>
            <w:r>
              <w:rPr>
                <w:rFonts w:eastAsia="Times New Roman" w:cs="Calibri"/>
                <w:i/>
                <w:iCs/>
                <w:color w:val="000000"/>
                <w:sz w:val="18"/>
                <w:szCs w:val="18"/>
                <w:lang w:eastAsia="en-GB"/>
              </w:rPr>
              <w:t>- z</w:t>
            </w: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 xml:space="preserve">avisne rečenice s </w:t>
            </w:r>
            <w:r>
              <w:rPr>
                <w:rFonts w:eastAsia="Times New Roman" w:cs="Calibri"/>
                <w:i/>
                <w:iCs/>
                <w:color w:val="000000"/>
                <w:sz w:val="18"/>
                <w:szCs w:val="18"/>
                <w:lang w:val="hr-HR" w:eastAsia="en-GB"/>
              </w:rPr>
              <w:t>obwohl</w:t>
            </w: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 xml:space="preserve"> i </w:t>
            </w:r>
            <w:r>
              <w:rPr>
                <w:rFonts w:eastAsia="Times New Roman" w:cs="Calibri"/>
                <w:i/>
                <w:iCs/>
                <w:color w:val="000000"/>
                <w:sz w:val="18"/>
                <w:szCs w:val="18"/>
                <w:lang w:val="de-DE" w:eastAsia="en-GB"/>
              </w:rPr>
              <w:t>weil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de-DE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de-DE" w:eastAsia="en-GB"/>
              </w:rPr>
              <w:t>- strukture glagola s imenicom (</w:t>
            </w:r>
            <w:r>
              <w:rPr>
                <w:rFonts w:eastAsia="Times New Roman" w:cs="Calibri"/>
                <w:i/>
                <w:iCs/>
                <w:color w:val="000000"/>
                <w:sz w:val="18"/>
                <w:szCs w:val="18"/>
                <w:lang w:val="de-DE" w:eastAsia="en-GB"/>
              </w:rPr>
              <w:t>Nomen-Verb-Verbindungen/ Funktionsverbgefüge</w:t>
            </w:r>
            <w:r>
              <w:rPr>
                <w:rFonts w:eastAsia="Times New Roman" w:cs="Calibri"/>
                <w:color w:val="000000"/>
                <w:sz w:val="18"/>
                <w:szCs w:val="18"/>
                <w:lang w:val="de-DE" w:eastAsia="en-GB"/>
              </w:rPr>
              <w:t>)</w:t>
            </w:r>
          </w:p>
          <w:p>
            <w:pPr>
              <w:pStyle w:val="Normal"/>
              <w:widowControl w:val="false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before="0" w:after="160"/>
              <w:rPr>
                <w:rFonts w:ascii="Calibri" w:hAnsi="Calibri" w:eastAsia="Times New Roman" w:cs="Calibri"/>
                <w:lang w:eastAsia="en-GB"/>
              </w:rPr>
            </w:pPr>
            <w:r>
              <w:rPr>
                <w:rFonts w:eastAsia="Times New Roman" w:cs="Calibri"/>
                <w:lang w:eastAsia="en-GB"/>
              </w:rPr>
            </w:r>
          </w:p>
        </w:tc>
        <w:tc>
          <w:tcPr>
            <w:tcW w:w="1281" w:type="dxa"/>
            <w:tcBorders>
              <w:top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de-DE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de-DE" w:eastAsia="en-GB"/>
              </w:rPr>
              <w:t>Kapitel 1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b/>
                <w:b/>
                <w:bCs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val="hr-HR"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b/>
                <w:b/>
                <w:bCs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val="hr-HR"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b/>
                <w:b/>
                <w:bCs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val="hr-HR"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b/>
                <w:b/>
                <w:bCs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val="hr-HR"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b/>
                <w:b/>
                <w:bCs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val="hr-HR"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b/>
                <w:b/>
                <w:bCs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val="hr-HR"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 xml:space="preserve">Kapitel 1 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>Ponavljanje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>Kapitel 2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b/>
                <w:b/>
                <w:bCs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val="hr-HR"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b/>
                <w:b/>
                <w:bCs/>
                <w:color w:val="000000"/>
                <w:lang w:eastAsia="en-GB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b/>
                <w:b/>
                <w:bCs/>
                <w:color w:val="000000"/>
                <w:lang w:eastAsia="en-GB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r>
          </w:p>
        </w:tc>
      </w:tr>
      <w:tr>
        <w:trPr>
          <w:trHeight w:val="940" w:hRule="atLeast"/>
        </w:trPr>
        <w:tc>
          <w:tcPr>
            <w:tcW w:w="1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E599" w:themeFill="accent4" w:themeFillTint="66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</w:tc>
        <w:tc>
          <w:tcPr>
            <w:tcW w:w="25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</w:tc>
        <w:tc>
          <w:tcPr>
            <w:tcW w:w="8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</w:tc>
        <w:tc>
          <w:tcPr>
            <w:tcW w:w="198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</w:tc>
        <w:tc>
          <w:tcPr>
            <w:tcW w:w="311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</w:tc>
        <w:tc>
          <w:tcPr>
            <w:tcW w:w="287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</w:tc>
        <w:tc>
          <w:tcPr>
            <w:tcW w:w="128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r>
          </w:p>
        </w:tc>
      </w:tr>
      <w:tr>
        <w:trPr>
          <w:trHeight w:val="912" w:hRule="atLeast"/>
        </w:trPr>
        <w:tc>
          <w:tcPr>
            <w:tcW w:w="1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4C6E7" w:themeFill="accent1" w:themeFillTint="66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hd w:fill="B4C6E7" w:val="clear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  <w:t> </w:t>
            </w:r>
            <w:r>
              <w:rPr>
                <w:rFonts w:eastAsia="Times New Roman" w:cs="Calibri"/>
                <w:color w:val="000000"/>
                <w:shd w:fill="B4C6E7" w:val="clear"/>
                <w:lang w:eastAsia="en-GB"/>
              </w:rPr>
              <w:t>STUDENI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hd w:fill="B4C6E7" w:val="clear"/>
                <w:lang w:eastAsia="en-GB"/>
              </w:rPr>
            </w:pPr>
            <w:r>
              <w:rPr>
                <w:rFonts w:eastAsia="Times New Roman" w:cs="Calibri"/>
                <w:color w:val="000000"/>
                <w:shd w:fill="B4C6E7" w:val="clear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hd w:fill="B4C6E7" w:val="clear"/>
                <w:lang w:eastAsia="en-GB"/>
              </w:rPr>
            </w:pPr>
            <w:r>
              <w:rPr>
                <w:rFonts w:eastAsia="Times New Roman" w:cs="Calibri"/>
                <w:color w:val="000000"/>
                <w:shd w:fill="B4C6E7" w:val="clear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hd w:fill="B4C6E7" w:val="clear"/>
                <w:lang w:eastAsia="en-GB"/>
              </w:rPr>
            </w:pPr>
            <w:r>
              <w:rPr>
                <w:rFonts w:eastAsia="Times New Roman" w:cs="Calibri"/>
                <w:color w:val="000000"/>
                <w:shd w:fill="B4C6E7" w:val="clear"/>
                <w:lang w:eastAsia="en-GB"/>
              </w:rPr>
              <w:t>PROSINAC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</w:tc>
        <w:tc>
          <w:tcPr>
            <w:tcW w:w="25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en-GB"/>
              </w:rPr>
              <w:t>Stanovanje</w:t>
            </w:r>
            <w:r>
              <w:rPr>
                <w:rFonts w:eastAsia="Times New Roman" w:cs="Calibri"/>
                <w:color w:val="000000"/>
                <w:lang w:eastAsia="en-GB"/>
              </w:rPr>
              <w:t xml:space="preserve"> 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 xml:space="preserve">- vrste stambenih objekata I mjesta stanovanja 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- opisati mjesto stanovanja I stambeni prostor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- voditi debatu, argumentirano raspravljati o različitim mjestima stanovanja, izraziti slaganje I neslaganje sa sugovornicima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>- izražavanje vlastitog mišljenja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>- davanje savjeta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</w:tc>
        <w:tc>
          <w:tcPr>
            <w:tcW w:w="8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  <w:t>12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4"/>
                <w:szCs w:val="14"/>
                <w:lang w:eastAsia="en-GB"/>
              </w:rPr>
            </w:pPr>
            <w:r>
              <w:rPr>
                <w:rFonts w:eastAsia="Times New Roman" w:cs="Calibri"/>
                <w:color w:val="000000"/>
                <w:sz w:val="14"/>
                <w:szCs w:val="14"/>
                <w:lang w:eastAsia="en-GB"/>
              </w:rPr>
              <w:t>(7 studeni)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4"/>
                <w:szCs w:val="14"/>
                <w:lang w:eastAsia="en-GB"/>
              </w:rPr>
            </w:pPr>
            <w:r>
              <w:rPr>
                <w:rFonts w:eastAsia="Times New Roman" w:cs="Calibri"/>
                <w:color w:val="000000"/>
                <w:sz w:val="14"/>
                <w:szCs w:val="14"/>
                <w:lang w:eastAsia="en-GB"/>
              </w:rPr>
              <w:t>(5 prosinac)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</w:tc>
        <w:tc>
          <w:tcPr>
            <w:tcW w:w="198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</w:tc>
        <w:tc>
          <w:tcPr>
            <w:tcW w:w="311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</w:tc>
        <w:tc>
          <w:tcPr>
            <w:tcW w:w="287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</w:tc>
        <w:tc>
          <w:tcPr>
            <w:tcW w:w="128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de-DE" w:eastAsia="en-GB"/>
              </w:rPr>
              <w:t xml:space="preserve">Kapitel  2 i 3 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</w:tc>
      </w:tr>
      <w:tr>
        <w:trPr>
          <w:trHeight w:val="912" w:hRule="atLeast"/>
        </w:trPr>
        <w:tc>
          <w:tcPr>
            <w:tcW w:w="1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4C6E7" w:themeFill="accent1" w:themeFillTint="66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  <w:t>PROSINAC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</w:tc>
        <w:tc>
          <w:tcPr>
            <w:tcW w:w="25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 xml:space="preserve">Ponavljanje: čitanje s razumijevanjem 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b/>
                <w:b/>
                <w:bCs/>
                <w:color w:val="000000"/>
                <w:lang w:eastAsia="en-GB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hr-HR" w:eastAsia="en-GB"/>
              </w:rPr>
              <w:t xml:space="preserve">Mediji i oglašavanje 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>- pričati o računalnim igricama i drugim hobijima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b/>
                <w:b/>
                <w:bCs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val="hr-HR" w:eastAsia="en-GB"/>
              </w:rPr>
              <w:t xml:space="preserve">Blagdani – Božić 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b/>
                <w:b/>
                <w:bCs/>
                <w:color w:val="000000"/>
                <w:lang w:eastAsia="en-GB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</w:tc>
        <w:tc>
          <w:tcPr>
            <w:tcW w:w="8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  <w:t xml:space="preserve">    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  <w:t>12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4"/>
                <w:szCs w:val="14"/>
                <w:lang w:eastAsia="en-GB"/>
              </w:rPr>
            </w:pPr>
            <w:r>
              <w:rPr>
                <w:rFonts w:eastAsia="Times New Roman" w:cs="Calibri"/>
                <w:color w:val="000000"/>
                <w:sz w:val="14"/>
                <w:szCs w:val="14"/>
                <w:lang w:eastAsia="en-GB"/>
              </w:rPr>
              <w:t>(2 prosinac) (1 provjera)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4"/>
                <w:szCs w:val="14"/>
                <w:lang w:eastAsia="en-GB"/>
              </w:rPr>
            </w:pPr>
            <w:r>
              <w:rPr>
                <w:rFonts w:eastAsia="Times New Roman" w:cs="Calibri"/>
                <w:color w:val="000000"/>
                <w:sz w:val="14"/>
                <w:szCs w:val="14"/>
                <w:lang w:eastAsia="en-GB"/>
              </w:rPr>
              <w:t>(1 blagdani)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</w:tc>
        <w:tc>
          <w:tcPr>
            <w:tcW w:w="198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</w:tc>
        <w:tc>
          <w:tcPr>
            <w:tcW w:w="311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</w:tc>
        <w:tc>
          <w:tcPr>
            <w:tcW w:w="287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</w:tc>
        <w:tc>
          <w:tcPr>
            <w:tcW w:w="128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de-DE" w:eastAsia="en-GB"/>
              </w:rPr>
              <w:t xml:space="preserve">Kapitel 3 </w:t>
            </w: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>Ponavljanje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>Training A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de-DE" w:eastAsia="en-GB"/>
              </w:rPr>
              <w:t>Kapitel 4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de-DE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de-DE" w:eastAsia="en-GB"/>
              </w:rPr>
              <w:t>Blagdani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de-DE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de-DE"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de-DE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de-DE"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de-DE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de-DE"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de-DE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de-DE"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de-DE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de-DE"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de-DE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de-DE"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de-DE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de-DE"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de-DE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de-DE"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de-DE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de-DE"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de-DE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de-DE"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de-DE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de-DE"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de-DE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de-DE"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de-DE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de-DE"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de-DE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de-DE"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de-DE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de-DE"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de-DE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de-DE"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de-DE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de-DE"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de-DE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de-DE"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de-DE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de-DE"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de-DE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de-DE" w:eastAsia="en-GB"/>
              </w:rPr>
            </w:r>
          </w:p>
        </w:tc>
      </w:tr>
      <w:tr>
        <w:trPr>
          <w:trHeight w:val="912" w:hRule="atLeast"/>
        </w:trPr>
        <w:tc>
          <w:tcPr>
            <w:tcW w:w="1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4C6E7" w:themeFill="accent1" w:themeFillTint="66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  <w:t>SIJEČANJ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  <w:t>VELJAČA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</w:tc>
        <w:tc>
          <w:tcPr>
            <w:tcW w:w="25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Spacing"/>
              <w:widowControl w:val="false"/>
              <w:rPr>
                <w:rFonts w:ascii="Calibri" w:hAnsi="Calibri" w:eastAsia="Times New Roman" w:cs="Calibri"/>
                <w:b/>
                <w:b/>
                <w:bCs/>
                <w:color w:val="000000"/>
                <w:lang w:eastAsia="en-GB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hr-HR" w:eastAsia="en-GB"/>
              </w:rPr>
              <w:t xml:space="preserve">Mediji i oglašavanje  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>- davati upute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>- izraziti prigovor i reklamaciju</w:t>
            </w:r>
            <w:r>
              <w:rPr>
                <w:rFonts w:eastAsia="Times New Roman" w:cs="Calibri"/>
                <w:sz w:val="18"/>
                <w:szCs w:val="18"/>
                <w:lang w:val="hr-HR" w:eastAsia="en-GB"/>
              </w:rPr>
              <w:t xml:space="preserve">   - online kupovina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>- usporediti cijene i usluge proizvoda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>- razumjeti reklame i oglase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>- izraditi reklamu za vlastiti proizvod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</w:r>
          </w:p>
        </w:tc>
        <w:tc>
          <w:tcPr>
            <w:tcW w:w="8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4"/>
                <w:szCs w:val="14"/>
                <w:lang w:eastAsia="en-GB"/>
              </w:rPr>
            </w:pPr>
            <w:r>
              <w:rPr>
                <w:rFonts w:eastAsia="Times New Roman" w:cs="Calibri"/>
                <w:color w:val="000000"/>
                <w:sz w:val="14"/>
                <w:szCs w:val="14"/>
                <w:lang w:eastAsia="en-GB"/>
              </w:rPr>
              <w:t xml:space="preserve">(9 siječanj) 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4"/>
                <w:szCs w:val="14"/>
                <w:lang w:eastAsia="en-GB"/>
              </w:rPr>
            </w:pPr>
            <w:r>
              <w:rPr>
                <w:rFonts w:eastAsia="Times New Roman" w:cs="Calibri"/>
                <w:color w:val="000000"/>
                <w:sz w:val="14"/>
                <w:szCs w:val="14"/>
                <w:lang w:eastAsia="en-GB"/>
              </w:rPr>
              <w:t>(1 veljača)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4"/>
                <w:szCs w:val="14"/>
                <w:lang w:eastAsia="en-GB"/>
              </w:rPr>
            </w:pPr>
            <w:r>
              <w:rPr>
                <w:rFonts w:eastAsia="Times New Roman" w:cs="Calibri"/>
                <w:color w:val="000000"/>
                <w:sz w:val="14"/>
                <w:szCs w:val="14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  <w:t xml:space="preserve"> 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</w:tc>
        <w:tc>
          <w:tcPr>
            <w:tcW w:w="198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</w:tc>
        <w:tc>
          <w:tcPr>
            <w:tcW w:w="311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</w:tc>
        <w:tc>
          <w:tcPr>
            <w:tcW w:w="287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</w:tc>
        <w:tc>
          <w:tcPr>
            <w:tcW w:w="128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de-DE" w:eastAsia="en-GB"/>
              </w:rPr>
              <w:t>Kapitel</w:t>
            </w:r>
            <w: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 xml:space="preserve"> 4   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r>
          </w:p>
        </w:tc>
      </w:tr>
      <w:tr>
        <w:trPr>
          <w:trHeight w:val="912" w:hRule="atLeast"/>
        </w:trPr>
        <w:tc>
          <w:tcPr>
            <w:tcW w:w="1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FBFBF" w:themeFill="background1" w:themeFillShade="b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  <w:t> </w:t>
            </w:r>
            <w:r>
              <w:rPr>
                <w:rFonts w:eastAsia="Times New Roman" w:cs="Calibri"/>
                <w:color w:val="000000"/>
                <w:lang w:eastAsia="en-GB"/>
              </w:rPr>
              <w:t>VELJAČA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  <w:t>OŽUJAK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</w:tc>
        <w:tc>
          <w:tcPr>
            <w:tcW w:w="25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b/>
                <w:b/>
                <w:bCs/>
                <w:color w:val="000000"/>
                <w:lang w:eastAsia="en-GB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en-GB"/>
              </w:rPr>
              <w:t>Odjeća I moda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b/>
                <w:b/>
                <w:bCs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>- opisati nečiji izgled i promjenu izgleda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 xml:space="preserve">- opisati odjevne stilove 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>- izraziti vlastito mišljenje o odjevnim stilovima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>- predstaviti i javno prezentirati knjigu po izboru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b/>
                <w:b/>
                <w:bCs/>
                <w:color w:val="000000"/>
                <w:lang w:eastAsia="en-GB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en-GB"/>
              </w:rPr>
            </w:r>
          </w:p>
        </w:tc>
        <w:tc>
          <w:tcPr>
            <w:tcW w:w="8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  <w:t xml:space="preserve">12 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14"/>
                <w:szCs w:val="14"/>
                <w:lang w:eastAsia="en-GB"/>
              </w:rPr>
            </w:pPr>
            <w:r>
              <w:rPr>
                <w:rFonts w:eastAsia="Times New Roman" w:cs="Calibri"/>
                <w:color w:val="000000"/>
                <w:sz w:val="14"/>
                <w:szCs w:val="14"/>
                <w:lang w:eastAsia="en-GB"/>
              </w:rPr>
              <w:t>(8 veljača)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4"/>
                <w:szCs w:val="14"/>
                <w:lang w:eastAsia="en-GB"/>
              </w:rPr>
            </w:pPr>
            <w:r>
              <w:rPr>
                <w:rFonts w:eastAsia="Times New Roman" w:cs="Calibri"/>
                <w:color w:val="000000"/>
                <w:sz w:val="14"/>
                <w:szCs w:val="14"/>
                <w:lang w:eastAsia="en-GB"/>
              </w:rPr>
              <w:t>(4 ožujak)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</w:tc>
        <w:tc>
          <w:tcPr>
            <w:tcW w:w="198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</w:tc>
        <w:tc>
          <w:tcPr>
            <w:tcW w:w="311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</w:tc>
        <w:tc>
          <w:tcPr>
            <w:tcW w:w="287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</w:tc>
        <w:tc>
          <w:tcPr>
            <w:tcW w:w="128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de-DE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de-DE" w:eastAsia="en-GB"/>
              </w:rPr>
              <w:t>Kapitel 4 i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de-DE" w:eastAsia="en-GB"/>
              </w:rPr>
              <w:t>Kapitel 5</w:t>
            </w:r>
            <w: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 xml:space="preserve"> 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</w:tc>
      </w:tr>
      <w:tr>
        <w:trPr>
          <w:trHeight w:val="912" w:hRule="atLeast"/>
        </w:trPr>
        <w:tc>
          <w:tcPr>
            <w:tcW w:w="1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FBFBF" w:themeFill="background1" w:themeFillShade="b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  <w:t> </w:t>
            </w:r>
            <w:r>
              <w:rPr>
                <w:rFonts w:eastAsia="Times New Roman" w:cs="Calibri"/>
                <w:color w:val="000000"/>
                <w:lang w:eastAsia="en-GB"/>
              </w:rPr>
              <w:t>OŽUJAK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  <w:t>TRAVANJ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</w:tc>
        <w:tc>
          <w:tcPr>
            <w:tcW w:w="25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b/>
                <w:b/>
                <w:bCs/>
                <w:color w:val="000000"/>
                <w:lang w:eastAsia="en-GB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en-GB"/>
              </w:rPr>
              <w:t xml:space="preserve">Komunikacija (načini I pravila komuniciranja u online I offline okruženju) 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>- razumjeti kratice u SMS porukama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>- komunicirati u online okruženju / pisati email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>- uljudno osloviti sugovornika i pristojno se izražavati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>- predstaviti projekt /napisati izvještaj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Ponavljanje: slušanje/čitanje s razumijevanjem</w:t>
            </w:r>
          </w:p>
        </w:tc>
        <w:tc>
          <w:tcPr>
            <w:tcW w:w="8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  <w:t xml:space="preserve">   </w:t>
            </w:r>
            <w:r>
              <w:rPr>
                <w:rFonts w:eastAsia="Times New Roman" w:cs="Calibri"/>
                <w:color w:val="000000"/>
                <w:lang w:eastAsia="en-GB"/>
              </w:rPr>
              <w:t>12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4"/>
                <w:szCs w:val="14"/>
                <w:lang w:eastAsia="en-GB"/>
              </w:rPr>
            </w:pPr>
            <w:r>
              <w:rPr>
                <w:rFonts w:eastAsia="Times New Roman" w:cs="Calibri"/>
                <w:color w:val="000000"/>
                <w:sz w:val="14"/>
                <w:szCs w:val="14"/>
                <w:lang w:eastAsia="en-GB"/>
              </w:rPr>
              <w:t>(1 provjera)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4"/>
                <w:szCs w:val="14"/>
                <w:lang w:eastAsia="en-GB"/>
              </w:rPr>
            </w:pPr>
            <w:r>
              <w:rPr>
                <w:rFonts w:eastAsia="Times New Roman" w:cs="Calibri"/>
                <w:color w:val="000000"/>
                <w:sz w:val="14"/>
                <w:szCs w:val="14"/>
                <w:lang w:eastAsia="en-GB"/>
              </w:rPr>
              <w:t>(10 ožujak)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4"/>
                <w:szCs w:val="14"/>
                <w:lang w:eastAsia="en-GB"/>
              </w:rPr>
            </w:pPr>
            <w:r>
              <w:rPr>
                <w:rFonts w:eastAsia="Times New Roman" w:cs="Calibri"/>
                <w:color w:val="000000"/>
                <w:sz w:val="14"/>
                <w:szCs w:val="14"/>
                <w:lang w:eastAsia="en-GB"/>
              </w:rPr>
              <w:t>(2 travanj)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</w:tc>
        <w:tc>
          <w:tcPr>
            <w:tcW w:w="198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</w:tc>
        <w:tc>
          <w:tcPr>
            <w:tcW w:w="311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</w:tc>
        <w:tc>
          <w:tcPr>
            <w:tcW w:w="287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</w:tc>
        <w:tc>
          <w:tcPr>
            <w:tcW w:w="128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de-DE" w:eastAsia="en-GB"/>
              </w:rPr>
              <w:t>Kapitel 5 Ponavljanje Kapitel 6</w:t>
            </w:r>
            <w:r>
              <w:rPr>
                <w:rFonts w:eastAsia="Times New Roman" w:cs="Calibri"/>
                <w:color w:val="000000"/>
                <w:lang w:eastAsia="en-GB"/>
              </w:rPr>
              <w:t xml:space="preserve"> 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</w:tc>
      </w:tr>
      <w:tr>
        <w:trPr>
          <w:trHeight w:val="912" w:hRule="atLeast"/>
        </w:trPr>
        <w:tc>
          <w:tcPr>
            <w:tcW w:w="1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FBFBF" w:themeFill="background1" w:themeFillShade="b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  <w:t> </w:t>
            </w:r>
            <w:r>
              <w:rPr>
                <w:rFonts w:eastAsia="Times New Roman" w:cs="Calibri"/>
                <w:color w:val="000000"/>
                <w:lang w:eastAsia="en-GB"/>
              </w:rPr>
              <w:t>TRAVANJ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  <w:t>SVIBANJ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</w:tc>
        <w:tc>
          <w:tcPr>
            <w:tcW w:w="25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en-GB"/>
              </w:rPr>
              <w:t>Prošlost I sedma umjetnost</w:t>
            </w:r>
            <w:r>
              <w:rPr>
                <w:rFonts w:eastAsia="Times New Roman" w:cs="Calibri"/>
                <w:color w:val="000000"/>
                <w:lang w:eastAsia="en-GB"/>
              </w:rPr>
              <w:t xml:space="preserve">  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- usmeno I pismeno prepričavanje događaja u prošlosti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>- pričati o događajima u prošlosti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>- izraditi vremensku crtu slavne osobe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>- opisati događaj u prošlosti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 xml:space="preserve">- predstaviti film 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- izražavanje slijeda događaja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val="hr-HR" w:eastAsia="en-GB"/>
              </w:rPr>
              <w:t>Blagdani – Uskrs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</w:tc>
        <w:tc>
          <w:tcPr>
            <w:tcW w:w="8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  <w:t>12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4"/>
                <w:szCs w:val="14"/>
                <w:lang w:eastAsia="en-GB"/>
              </w:rPr>
            </w:pPr>
            <w:r>
              <w:rPr>
                <w:rFonts w:eastAsia="Times New Roman" w:cs="Calibri"/>
                <w:color w:val="000000"/>
                <w:sz w:val="14"/>
                <w:szCs w:val="14"/>
                <w:lang w:eastAsia="en-GB"/>
              </w:rPr>
              <w:t>(1 blagdani)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4"/>
                <w:szCs w:val="14"/>
                <w:lang w:eastAsia="en-GB"/>
              </w:rPr>
            </w:pPr>
            <w:r>
              <w:rPr>
                <w:rFonts w:eastAsia="Times New Roman" w:cs="Calibri"/>
                <w:color w:val="000000"/>
                <w:sz w:val="14"/>
                <w:szCs w:val="14"/>
                <w:lang w:eastAsia="en-GB"/>
              </w:rPr>
              <w:t>(6 travanj)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4"/>
                <w:szCs w:val="14"/>
                <w:lang w:eastAsia="en-GB"/>
              </w:rPr>
            </w:pPr>
            <w:r>
              <w:rPr>
                <w:rFonts w:eastAsia="Times New Roman" w:cs="Calibri"/>
                <w:color w:val="000000"/>
                <w:sz w:val="14"/>
                <w:szCs w:val="14"/>
                <w:lang w:eastAsia="en-GB"/>
              </w:rPr>
              <w:t>(6 svibanj)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</w:tc>
        <w:tc>
          <w:tcPr>
            <w:tcW w:w="198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</w:tc>
        <w:tc>
          <w:tcPr>
            <w:tcW w:w="311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</w:tc>
        <w:tc>
          <w:tcPr>
            <w:tcW w:w="287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</w:tc>
        <w:tc>
          <w:tcPr>
            <w:tcW w:w="128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de-DE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de-DE" w:eastAsia="en-GB"/>
              </w:rPr>
              <w:t xml:space="preserve">Kapitel 6 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de-DE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de-DE" w:eastAsia="en-GB"/>
              </w:rPr>
              <w:t xml:space="preserve">Blagdani 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de-DE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de-DE" w:eastAsia="en-GB"/>
              </w:rPr>
              <w:t>Kapitel 7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de-DE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de-DE"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de-DE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de-DE"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de-DE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de-DE"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de-DE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de-DE"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de-DE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de-DE"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de-DE" w:eastAsia="en-GB"/>
              </w:rPr>
              <w:t xml:space="preserve"> 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</w:tc>
      </w:tr>
      <w:tr>
        <w:trPr>
          <w:trHeight w:val="912" w:hRule="atLeast"/>
        </w:trPr>
        <w:tc>
          <w:tcPr>
            <w:tcW w:w="1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4B083" w:themeFill="accent2" w:themeFillTint="99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  <w:t> </w:t>
            </w:r>
            <w:r>
              <w:rPr>
                <w:rFonts w:eastAsia="Times New Roman" w:cs="Calibri"/>
                <w:color w:val="000000"/>
                <w:lang w:eastAsia="en-GB"/>
              </w:rPr>
              <w:t>SVIBANJ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  <w:t xml:space="preserve">LIPANJ 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</w:tc>
        <w:tc>
          <w:tcPr>
            <w:tcW w:w="25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18"/>
                <w:szCs w:val="18"/>
                <w:lang w:eastAsia="hr-HR"/>
              </w:rPr>
            </w:pPr>
            <w:r>
              <w:rPr>
                <w:b/>
                <w:bCs/>
                <w:lang w:eastAsia="hr-HR"/>
              </w:rPr>
              <w:t>Kulturno nasljeđe</w:t>
            </w:r>
            <w:r>
              <w:rPr>
                <w:sz w:val="18"/>
                <w:szCs w:val="18"/>
                <w:lang w:eastAsia="hr-HR"/>
              </w:rPr>
              <w:t xml:space="preserve"> 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lang w:eastAsia="hr-HR"/>
              </w:rPr>
            </w:pPr>
            <w:r>
              <w:rPr>
                <w:lang w:eastAsia="hr-HR"/>
              </w:rPr>
              <w:t xml:space="preserve">(susret s različitim kulturama I običajima) 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sz w:val="18"/>
                <w:szCs w:val="18"/>
                <w:lang w:eastAsia="hr-HR"/>
              </w:rPr>
              <w:t>- stereotipi, višejezičnost, različitosti društvenih grupa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>- razumjeti različite običaje, dati savjet kod susreta s različitim običajima i tradicijom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>- pripremiti i voditi intervju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 xml:space="preserve">- pričati o različitim jezicima, važnosti poznavanja stranih jezika 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>- pričati o pripadnicima različitih društvenih grupa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</w:tc>
        <w:tc>
          <w:tcPr>
            <w:tcW w:w="8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  <w:t>12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4"/>
                <w:szCs w:val="14"/>
                <w:lang w:eastAsia="en-GB"/>
              </w:rPr>
            </w:pPr>
            <w:r>
              <w:rPr>
                <w:rFonts w:eastAsia="Times New Roman" w:cs="Calibri"/>
                <w:color w:val="000000"/>
                <w:sz w:val="14"/>
                <w:szCs w:val="14"/>
                <w:lang w:eastAsia="en-GB"/>
              </w:rPr>
              <w:t>(7 svibanj)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4"/>
                <w:szCs w:val="14"/>
                <w:lang w:eastAsia="en-GB"/>
              </w:rPr>
            </w:pPr>
            <w:r>
              <w:rPr>
                <w:rFonts w:eastAsia="Times New Roman" w:cs="Calibri"/>
                <w:color w:val="000000"/>
                <w:sz w:val="14"/>
                <w:szCs w:val="14"/>
                <w:lang w:eastAsia="en-GB"/>
              </w:rPr>
              <w:t>(5 lipanj)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4"/>
                <w:szCs w:val="14"/>
                <w:lang w:eastAsia="en-GB"/>
              </w:rPr>
            </w:pPr>
            <w:r>
              <w:rPr>
                <w:rFonts w:eastAsia="Times New Roman" w:cs="Calibri"/>
                <w:color w:val="000000"/>
                <w:sz w:val="14"/>
                <w:szCs w:val="14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4"/>
                <w:szCs w:val="14"/>
                <w:lang w:eastAsia="en-GB"/>
              </w:rPr>
            </w:pPr>
            <w:r>
              <w:rPr>
                <w:rFonts w:eastAsia="Times New Roman" w:cs="Calibri"/>
                <w:color w:val="000000"/>
                <w:sz w:val="14"/>
                <w:szCs w:val="14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4"/>
                <w:szCs w:val="14"/>
                <w:lang w:eastAsia="en-GB"/>
              </w:rPr>
            </w:pPr>
            <w:r>
              <w:rPr>
                <w:rFonts w:eastAsia="Times New Roman" w:cs="Calibri"/>
                <w:color w:val="000000"/>
                <w:sz w:val="14"/>
                <w:szCs w:val="14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4"/>
                <w:szCs w:val="14"/>
                <w:lang w:eastAsia="en-GB"/>
              </w:rPr>
            </w:pPr>
            <w:r>
              <w:rPr>
                <w:rFonts w:eastAsia="Times New Roman" w:cs="Calibri"/>
                <w:color w:val="000000"/>
                <w:sz w:val="14"/>
                <w:szCs w:val="14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4"/>
                <w:szCs w:val="14"/>
                <w:lang w:eastAsia="en-GB"/>
              </w:rPr>
            </w:pPr>
            <w:r>
              <w:rPr>
                <w:rFonts w:eastAsia="Times New Roman" w:cs="Calibri"/>
                <w:color w:val="000000"/>
                <w:sz w:val="14"/>
                <w:szCs w:val="14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</w:tc>
        <w:tc>
          <w:tcPr>
            <w:tcW w:w="198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</w:tc>
        <w:tc>
          <w:tcPr>
            <w:tcW w:w="311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</w:tc>
        <w:tc>
          <w:tcPr>
            <w:tcW w:w="287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</w:tc>
        <w:tc>
          <w:tcPr>
            <w:tcW w:w="128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de-DE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de-DE"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de-DE" w:eastAsia="en-GB"/>
              </w:rPr>
              <w:t>Kapitel</w:t>
            </w:r>
            <w: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 xml:space="preserve"> 7 Kapitel 8 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</w:tc>
      </w:tr>
      <w:tr>
        <w:trPr>
          <w:trHeight w:val="912" w:hRule="atLeast"/>
        </w:trPr>
        <w:tc>
          <w:tcPr>
            <w:tcW w:w="1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4B083" w:themeFill="accent2" w:themeFillTint="99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  <w:t> </w:t>
            </w:r>
            <w:r>
              <w:rPr>
                <w:rFonts w:eastAsia="Times New Roman" w:cs="Calibri"/>
                <w:color w:val="000000"/>
                <w:lang w:eastAsia="en-GB"/>
              </w:rPr>
              <w:t>LIPANJ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</w:tc>
        <w:tc>
          <w:tcPr>
            <w:tcW w:w="25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b/>
                <w:b/>
                <w:bCs/>
                <w:color w:val="000000"/>
                <w:lang w:eastAsia="en-GB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en-GB"/>
              </w:rPr>
              <w:t>Ponavljanje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 xml:space="preserve">Ponavljanje: čitanje/slušanje s razumijevanjem 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Ponavljanje I usustavljivanje: provjera razine usvojenosti ishoda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b/>
                <w:b/>
                <w:bCs/>
                <w:color w:val="000000"/>
                <w:lang w:eastAsia="en-GB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en-GB"/>
              </w:rPr>
            </w:r>
          </w:p>
        </w:tc>
        <w:tc>
          <w:tcPr>
            <w:tcW w:w="8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  <w:t xml:space="preserve">10 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4"/>
                <w:szCs w:val="14"/>
                <w:lang w:eastAsia="en-GB"/>
              </w:rPr>
            </w:pPr>
            <w:r>
              <w:rPr>
                <w:rFonts w:eastAsia="Times New Roman" w:cs="Calibri"/>
                <w:color w:val="000000"/>
                <w:sz w:val="14"/>
                <w:szCs w:val="14"/>
                <w:lang w:eastAsia="en-GB"/>
              </w:rPr>
              <w:t>(1 provjera)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4"/>
                <w:szCs w:val="14"/>
                <w:lang w:eastAsia="en-GB"/>
              </w:rPr>
            </w:pPr>
            <w:r>
              <w:rPr>
                <w:rFonts w:eastAsia="Times New Roman" w:cs="Calibri"/>
                <w:color w:val="000000"/>
                <w:sz w:val="14"/>
                <w:szCs w:val="14"/>
                <w:lang w:eastAsia="en-GB"/>
              </w:rPr>
              <w:t>(3 ponavljanje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4"/>
                <w:szCs w:val="14"/>
                <w:lang w:eastAsia="en-GB"/>
              </w:rPr>
            </w:pPr>
            <w:r>
              <w:rPr>
                <w:rFonts w:eastAsia="Times New Roman" w:cs="Calibri"/>
                <w:color w:val="000000"/>
                <w:sz w:val="14"/>
                <w:szCs w:val="14"/>
                <w:lang w:eastAsia="en-GB"/>
              </w:rPr>
              <w:t xml:space="preserve">(1 zaključiva-nje ocjena) 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</w:tc>
        <w:tc>
          <w:tcPr>
            <w:tcW w:w="198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</w:tc>
        <w:tc>
          <w:tcPr>
            <w:tcW w:w="311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</w:tc>
        <w:tc>
          <w:tcPr>
            <w:tcW w:w="287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</w:r>
          </w:p>
        </w:tc>
        <w:tc>
          <w:tcPr>
            <w:tcW w:w="128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de-DE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de-DE"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de-DE" w:eastAsia="en-GB"/>
              </w:rPr>
              <w:t>Kapitel</w:t>
            </w:r>
            <w:r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 xml:space="preserve"> 8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>Ponavljanje Training B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  <w:t>Zaključivanje ocjena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hr-HR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hr-HR"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18"/>
                <w:szCs w:val="18"/>
                <w:lang w:val="de-DE" w:eastAsia="en-GB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val="de-DE" w:eastAsia="en-GB"/>
              </w:rPr>
            </w:r>
            <w:bookmarkStart w:id="0" w:name="_Hlk44942166"/>
            <w:bookmarkStart w:id="1" w:name="_Hlk44942166"/>
            <w:bookmarkEnd w:id="1"/>
          </w:p>
        </w:tc>
      </w:tr>
    </w:tbl>
    <w:p>
      <w:pPr>
        <w:pStyle w:val="Normal"/>
        <w:rPr>
          <w:rFonts w:cs="Calibri" w:cstheme="minorHAnsi"/>
          <w:lang w:val="hr-HR"/>
        </w:rPr>
      </w:pPr>
      <w:r>
        <w:rPr>
          <w:rFonts w:cs="Calibri" w:cstheme="minorHAnsi"/>
          <w:lang w:val="hr-HR"/>
        </w:rPr>
        <w:t>Napomene:</w:t>
      </w:r>
    </w:p>
    <w:p>
      <w:pPr>
        <w:pStyle w:val="Normal"/>
        <w:spacing w:before="0" w:after="160"/>
        <w:rPr>
          <w:rFonts w:cs="Calibri" w:cstheme="minorHAnsi"/>
          <w:lang w:val="hr-HR"/>
        </w:rPr>
      </w:pPr>
      <w:r>
        <w:rPr>
          <w:lang w:val="hr-HR"/>
        </w:rPr>
        <w:t>Vrednovanje za učenje, kao učenje i naučenog kontinuirano se provodi tijekom cijele školske godine.</w:t>
      </w:r>
    </w:p>
    <w:sectPr>
      <w:footerReference w:type="default" r:id="rId2"/>
      <w:type w:val="nextPage"/>
      <w:pgSz w:orient="landscape" w:w="16838" w:h="11906"/>
      <w:pgMar w:left="1417" w:right="1417" w:header="0" w:top="1417" w:footer="708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22776416"/>
    </w:sdtPr>
    <w:sdtContent>
      <w:p>
        <w:pPr>
          <w:pStyle w:val="Podnoje"/>
          <w:jc w:val="right"/>
          <w:rPr/>
        </w:pPr>
        <w:r>
          <w:rPr/>
          <w:fldChar w:fldCharType="begin"/>
        </w:r>
        <w:r>
          <w:rPr/>
          <w:instrText> PAGE </w:instrText>
        </w:r>
        <w:r>
          <w:rPr/>
          <w:fldChar w:fldCharType="separate"/>
        </w:r>
        <w:r>
          <w:rPr/>
          <w:t>6</w:t>
        </w:r>
        <w:r>
          <w:rPr/>
          <w:fldChar w:fldCharType="end"/>
        </w:r>
      </w:p>
    </w:sdtContent>
  </w:sdt>
  <w:p>
    <w:pPr>
      <w:pStyle w:val="Podnoje"/>
      <w:rPr/>
    </w:pPr>
    <w:r>
      <w:rPr/>
    </w:r>
  </w:p>
</w:ft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hr-H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hr-H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0523fe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GB" w:eastAsia="en-US" w:bidi="ar-SA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ZaglavljeChar" w:customStyle="1">
    <w:name w:val="Zaglavlje Char"/>
    <w:basedOn w:val="DefaultParagraphFont"/>
    <w:link w:val="Zaglavlje"/>
    <w:uiPriority w:val="99"/>
    <w:qFormat/>
    <w:rsid w:val="002a63ac"/>
    <w:rPr>
      <w:lang w:val="en-GB"/>
    </w:rPr>
  </w:style>
  <w:style w:type="character" w:styleId="PodnojeChar" w:customStyle="1">
    <w:name w:val="Podnožje Char"/>
    <w:basedOn w:val="DefaultParagraphFont"/>
    <w:link w:val="Podnoje"/>
    <w:uiPriority w:val="99"/>
    <w:qFormat/>
    <w:rsid w:val="002a63ac"/>
    <w:rPr>
      <w:lang w:val="en-GB"/>
    </w:rPr>
  </w:style>
  <w:style w:type="paragraph" w:styleId="Stilnaslova">
    <w:name w:val="Stil naslova"/>
    <w:basedOn w:val="Normal"/>
    <w:next w:val="Tijeloteksta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ijeloteksta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ijeloteksta"/>
    <w:pPr/>
    <w:rPr>
      <w:rFonts w:cs="Arial"/>
    </w:rPr>
  </w:style>
  <w:style w:type="paragraph" w:styleId="Opiselement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bd74e7"/>
    <w:pPr>
      <w:spacing w:before="0" w:after="160"/>
      <w:ind w:left="720" w:hanging="0"/>
      <w:contextualSpacing/>
    </w:pPr>
    <w:rPr/>
  </w:style>
  <w:style w:type="paragraph" w:styleId="NoSpacing">
    <w:name w:val="No Spacing"/>
    <w:uiPriority w:val="1"/>
    <w:qFormat/>
    <w:rsid w:val="003b646a"/>
    <w:pPr>
      <w:widowControl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GB" w:eastAsia="en-US" w:bidi="ar-SA"/>
    </w:rPr>
  </w:style>
  <w:style w:type="paragraph" w:styleId="Zaglavljeipodnoje">
    <w:name w:val="Zaglavlje i podnožje"/>
    <w:basedOn w:val="Normal"/>
    <w:qFormat/>
    <w:pPr/>
    <w:rPr/>
  </w:style>
  <w:style w:type="paragraph" w:styleId="Zaglavlje">
    <w:name w:val="Header"/>
    <w:basedOn w:val="Normal"/>
    <w:link w:val="ZaglavljeChar"/>
    <w:uiPriority w:val="99"/>
    <w:unhideWhenUsed/>
    <w:rsid w:val="002a63ac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odnoje">
    <w:name w:val="Footer"/>
    <w:basedOn w:val="Normal"/>
    <w:link w:val="PodnojeChar"/>
    <w:uiPriority w:val="99"/>
    <w:unhideWhenUsed/>
    <w:rsid w:val="002a63ac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Sadrajokvira">
    <w:name w:val="Sadržaj okvira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Obinatablic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6DF7E3-46D3-4ED4-A1AF-F128EE436C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2034</TotalTime>
  <Application>LibreOffice/7.0.1.2$Windows_X86_64 LibreOffice_project/7cbcfc562f6eb6708b5ff7d7397325de9e764452</Application>
  <Pages>6</Pages>
  <Words>1727</Words>
  <Characters>10514</Characters>
  <CharactersWithSpaces>12319</CharactersWithSpaces>
  <Paragraphs>298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2021-08-22T14:31:00Z</dcterms:created>
  <dc:creator>Mirjana Jerković</dc:creator>
  <dc:description/>
  <dc:language>hr-HR</dc:language>
  <cp:lastModifiedBy/>
  <dcterms:modified xsi:type="dcterms:W3CDTF">2025-09-11T10:49:33Z</dcterms:modified>
  <cp:revision>579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